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638"/>
      </w:tblGrid>
      <w:tr w:rsidR="00A03A21">
        <w:trPr>
          <w:trHeight w:val="735"/>
          <w:tblCellSpacing w:w="0" w:type="dxa"/>
        </w:trPr>
        <w:tc>
          <w:tcPr>
            <w:tcW w:w="0" w:type="auto"/>
            <w:shd w:val="clear" w:color="auto" w:fill="FFFFFF"/>
            <w:vAlign w:val="center"/>
          </w:tcPr>
          <w:p w:rsidR="00A03A21" w:rsidRDefault="003F6C28">
            <w:pPr>
              <w:pStyle w:val="2"/>
              <w:widowControl/>
              <w:jc w:val="center"/>
              <w:rPr>
                <w:rFonts w:hint="default"/>
              </w:rPr>
            </w:pPr>
            <w:bookmarkStart w:id="0" w:name="_GoBack"/>
            <w:r>
              <w:t>参加“第十四届全国基础教育化学新课程实施成果交流大会”</w:t>
            </w:r>
            <w:bookmarkEnd w:id="0"/>
            <w:r w:rsidR="00075E97">
              <w:t>活动报道</w:t>
            </w:r>
          </w:p>
        </w:tc>
      </w:tr>
      <w:tr w:rsidR="00A03A21">
        <w:trPr>
          <w:trHeight w:val="480"/>
          <w:tblCellSpacing w:w="0" w:type="dxa"/>
        </w:trPr>
        <w:tc>
          <w:tcPr>
            <w:tcW w:w="0" w:type="auto"/>
            <w:shd w:val="clear" w:color="auto" w:fill="FFFFFF"/>
          </w:tcPr>
          <w:p w:rsidR="00A03A21" w:rsidRDefault="003F6C28">
            <w:pPr>
              <w:widowControl/>
              <w:jc w:val="center"/>
            </w:pPr>
            <w:r>
              <w:rPr>
                <w:rFonts w:ascii="宋体" w:eastAsia="宋体" w:hAnsi="宋体" w:cs="宋体"/>
                <w:color w:val="0000FF"/>
                <w:kern w:val="0"/>
                <w:sz w:val="24"/>
                <w:lang/>
              </w:rPr>
              <w:t>化学组</w:t>
            </w:r>
            <w:r>
              <w:rPr>
                <w:rFonts w:ascii="宋体" w:eastAsia="宋体" w:hAnsi="宋体" w:cs="宋体"/>
                <w:color w:val="0000FF"/>
                <w:kern w:val="0"/>
                <w:sz w:val="24"/>
                <w:lang/>
              </w:rPr>
              <w:t>/</w:t>
            </w:r>
            <w:r>
              <w:rPr>
                <w:rFonts w:ascii="宋体" w:eastAsia="宋体" w:hAnsi="宋体" w:cs="宋体"/>
                <w:color w:val="0000FF"/>
                <w:kern w:val="0"/>
                <w:sz w:val="24"/>
                <w:lang/>
              </w:rPr>
              <w:t xml:space="preserve">文、图　</w:t>
            </w:r>
            <w:r>
              <w:rPr>
                <w:rFonts w:ascii="宋体" w:eastAsia="宋体" w:hAnsi="宋体" w:cs="宋体"/>
                <w:kern w:val="0"/>
                <w:sz w:val="24"/>
                <w:lang/>
              </w:rPr>
              <w:t xml:space="preserve"> </w:t>
            </w:r>
          </w:p>
        </w:tc>
      </w:tr>
      <w:tr w:rsidR="00A03A21">
        <w:trPr>
          <w:tblCellSpacing w:w="0" w:type="dxa"/>
        </w:trPr>
        <w:tc>
          <w:tcPr>
            <w:tcW w:w="0" w:type="auto"/>
            <w:shd w:val="clear" w:color="auto" w:fill="FFFFFF"/>
            <w:vAlign w:val="center"/>
          </w:tcPr>
          <w:p w:rsidR="00A03A21" w:rsidRDefault="003F6C28" w:rsidP="00075E97">
            <w:pPr>
              <w:pStyle w:val="a3"/>
              <w:widowControl/>
              <w:spacing w:line="360" w:lineRule="auto"/>
            </w:pPr>
            <w:r>
              <w:t xml:space="preserve">　　</w:t>
            </w:r>
            <w:r>
              <w:t>2019</w:t>
            </w:r>
            <w:r>
              <w:t>年</w:t>
            </w:r>
            <w:r>
              <w:t>12</w:t>
            </w:r>
            <w:r>
              <w:t>月</w:t>
            </w:r>
            <w:r>
              <w:t>6</w:t>
            </w:r>
            <w:r>
              <w:t>日</w:t>
            </w:r>
            <w:r>
              <w:t>—12</w:t>
            </w:r>
            <w:r>
              <w:t>月</w:t>
            </w:r>
            <w:r>
              <w:t>9</w:t>
            </w:r>
            <w:r>
              <w:t>日，</w:t>
            </w:r>
            <w:r>
              <w:t>“</w:t>
            </w:r>
            <w:r>
              <w:t>第十四届全国基础教育化学新课程实施成果交流大会</w:t>
            </w:r>
            <w:r>
              <w:t>”</w:t>
            </w:r>
            <w:r>
              <w:t>在山东省潍坊市昌乐一中举行。本次大会由中国化学学会主办，中国化学会化学教育委员会、北京师范大学化学教育研究所、《化学教育》杂志社、</w:t>
            </w:r>
            <w:r>
              <w:t xml:space="preserve"> </w:t>
            </w:r>
            <w:r>
              <w:t>山东省昌乐一中承办。</w:t>
            </w:r>
            <w:r>
              <w:br/>
            </w:r>
            <w:r>
              <w:t xml:space="preserve">　　这是一次化学教师学术交流的盛会</w:t>
            </w:r>
            <w:r>
              <w:t>,</w:t>
            </w:r>
            <w:r>
              <w:t>来自海内外</w:t>
            </w:r>
            <w:r>
              <w:t xml:space="preserve"> 700 </w:t>
            </w:r>
            <w:r>
              <w:t>多名化学学科教育专家及化学教师参会，本次会议围绕</w:t>
            </w:r>
            <w:r>
              <w:t>“</w:t>
            </w:r>
            <w:r>
              <w:t>探索化学学科核心素养导向的教育教学实践</w:t>
            </w:r>
            <w:r>
              <w:t>”</w:t>
            </w:r>
            <w:r>
              <w:t>主题进行了深入探讨。</w:t>
            </w:r>
            <w:r>
              <w:br/>
            </w:r>
            <w:r>
              <w:t xml:space="preserve">　　</w:t>
            </w:r>
            <w:r>
              <w:t>7</w:t>
            </w:r>
            <w:r>
              <w:t>日上午，清华大学杨基础教授就《探索化学化工未来世界</w:t>
            </w:r>
            <w:r>
              <w:t>——</w:t>
            </w:r>
            <w:r>
              <w:t>值得为之付出一生》展开专题讲座</w:t>
            </w:r>
            <w:r>
              <w:t>,</w:t>
            </w:r>
            <w:r>
              <w:t>主题围绕化学化工发展进行了深刻、生动的介绍，让参会老师对化学化工的未来有了更深一步的认识；随后王磊教授对</w:t>
            </w:r>
            <w:r>
              <w:t>“</w:t>
            </w:r>
            <w:r>
              <w:t>新课标、新教材、新课程、新评价</w:t>
            </w:r>
            <w:r>
              <w:t>”</w:t>
            </w:r>
            <w:r>
              <w:t>展开专题讲座。讲座就如何落实核心素养导向、如何使用好新教学、如何在新一轮高考与教学中达成教学评一致性做了详尽的介绍，也给出了可操作性指导意见和建议。在为期</w:t>
            </w:r>
            <w:r>
              <w:t>3</w:t>
            </w:r>
            <w:r>
              <w:t>天的学习和交流</w:t>
            </w:r>
            <w:r>
              <w:t>研讨中，此次大会开展了</w:t>
            </w:r>
            <w:r>
              <w:t>16</w:t>
            </w:r>
            <w:r>
              <w:t>堂现场展示课、</w:t>
            </w:r>
            <w:r>
              <w:t xml:space="preserve"> 37</w:t>
            </w:r>
            <w:r>
              <w:t>堂说课展示，以及还有来自全国各地区代表的工作坊进行了项目式专题交流展示等。每一部分活动的研讨、交流都指向化学核心素养导向的教学，旨在探索新高考背景下化学学科核心素养导向的教育教学实践，展示、分享、交流实践研究成果，让所有参会教师都获益匪浅。</w:t>
            </w:r>
            <w:r>
              <w:br/>
            </w:r>
            <w:r>
              <w:t xml:space="preserve">　　棠湖中学初、高中化学组由孙建老师带队，冷丹、徐艳、向庆华、於自立随行。教研员叶书艳带队的双流化学教师团队一同参加会议。</w:t>
            </w:r>
            <w:r>
              <w:br/>
            </w:r>
            <w:r>
              <w:t xml:space="preserve">　　其中，</w:t>
            </w:r>
            <w:r w:rsidR="00075E97">
              <w:t>郭小渠名师工作室成员</w:t>
            </w:r>
            <w:r>
              <w:t>冷丹老师荣获教学案例类成果特等奖，并参加大会特色现场课展示。专家点评：冷丹老师的新授课</w:t>
            </w:r>
            <w:r>
              <w:t>，基于核心知识，落实核心素养，改变传统有机物教学方式和认知思路，从性质到结构，从生活到应用，从知识到能力，引导学生进行深度学习，让学生学习化学、热爱化学，理解化学是一门</w:t>
            </w:r>
            <w:r>
              <w:t>“</w:t>
            </w:r>
            <w:r>
              <w:t>服务于生活，创造于生活</w:t>
            </w:r>
            <w:r>
              <w:t>”</w:t>
            </w:r>
            <w:r>
              <w:t>的学科，受到参会老师和评课专家的一致好评。</w:t>
            </w:r>
            <w:r>
              <w:br/>
            </w:r>
            <w:r>
              <w:t xml:space="preserve">　　</w:t>
            </w:r>
            <w:r>
              <w:t xml:space="preserve"> </w:t>
            </w:r>
          </w:p>
        </w:tc>
      </w:tr>
      <w:tr w:rsidR="00A03A21">
        <w:trPr>
          <w:tblCellSpacing w:w="0" w:type="dxa"/>
        </w:trPr>
        <w:tc>
          <w:tcPr>
            <w:tcW w:w="0" w:type="auto"/>
            <w:shd w:val="clear" w:color="auto" w:fill="FFFFFF"/>
            <w:vAlign w:val="center"/>
          </w:tcPr>
          <w:p w:rsidR="00A03A21" w:rsidRDefault="003F6C28">
            <w:pPr>
              <w:widowControl/>
              <w:jc w:val="center"/>
            </w:pPr>
            <w:r>
              <w:rPr>
                <w:rFonts w:ascii="宋体" w:eastAsia="宋体" w:hAnsi="宋体" w:cs="宋体"/>
                <w:noProof/>
                <w:sz w:val="24"/>
              </w:rPr>
              <w:lastRenderedPageBreak/>
              <w:drawing>
                <wp:inline distT="0" distB="0" distL="114300" distR="114300">
                  <wp:extent cx="6096000" cy="3648075"/>
                  <wp:effectExtent l="19050" t="0" r="0" b="0"/>
                  <wp:docPr id="1" name="图片 1" descr="IMG_25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cstate="print"/>
                          <a:srcRect b="10094"/>
                          <a:stretch>
                            <a:fillRect/>
                          </a:stretch>
                        </pic:blipFill>
                        <pic:spPr>
                          <a:xfrm>
                            <a:off x="0" y="0"/>
                            <a:ext cx="6096000" cy="3648075"/>
                          </a:xfrm>
                          <a:prstGeom prst="rect">
                            <a:avLst/>
                          </a:prstGeom>
                          <a:noFill/>
                          <a:ln w="9525">
                            <a:noFill/>
                          </a:ln>
                        </pic:spPr>
                      </pic:pic>
                    </a:graphicData>
                  </a:graphic>
                </wp:inline>
              </w:drawing>
            </w:r>
          </w:p>
        </w:tc>
      </w:tr>
      <w:tr w:rsidR="00A03A21">
        <w:trPr>
          <w:tblCellSpacing w:w="0" w:type="dxa"/>
        </w:trPr>
        <w:tc>
          <w:tcPr>
            <w:tcW w:w="0" w:type="auto"/>
            <w:shd w:val="clear" w:color="auto" w:fill="FFFFFF"/>
            <w:vAlign w:val="center"/>
          </w:tcPr>
          <w:p w:rsidR="00A03A21" w:rsidRDefault="00A03A21">
            <w:pPr>
              <w:rPr>
                <w:rFonts w:ascii="宋体"/>
                <w:sz w:val="24"/>
              </w:rPr>
            </w:pPr>
          </w:p>
        </w:tc>
      </w:tr>
      <w:tr w:rsidR="00A03A21">
        <w:trPr>
          <w:tblCellSpacing w:w="0" w:type="dxa"/>
        </w:trPr>
        <w:tc>
          <w:tcPr>
            <w:tcW w:w="0" w:type="auto"/>
            <w:shd w:val="clear" w:color="auto" w:fill="FFFFFF"/>
            <w:vAlign w:val="center"/>
          </w:tcPr>
          <w:p w:rsidR="00A03A21" w:rsidRDefault="003F6C28">
            <w:pPr>
              <w:widowControl/>
              <w:jc w:val="center"/>
            </w:pPr>
            <w:r>
              <w:rPr>
                <w:rFonts w:ascii="宋体" w:eastAsia="宋体" w:hAnsi="宋体" w:cs="宋体"/>
                <w:noProof/>
                <w:sz w:val="24"/>
              </w:rPr>
              <w:drawing>
                <wp:inline distT="0" distB="0" distL="114300" distR="114300">
                  <wp:extent cx="6096000" cy="3705225"/>
                  <wp:effectExtent l="19050" t="0" r="0" b="0"/>
                  <wp:docPr id="3" name="图片 2" descr="IMG_25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10" cstate="print"/>
                          <a:srcRect b="8685"/>
                          <a:stretch>
                            <a:fillRect/>
                          </a:stretch>
                        </pic:blipFill>
                        <pic:spPr>
                          <a:xfrm>
                            <a:off x="0" y="0"/>
                            <a:ext cx="6096000" cy="3705225"/>
                          </a:xfrm>
                          <a:prstGeom prst="rect">
                            <a:avLst/>
                          </a:prstGeom>
                          <a:noFill/>
                          <a:ln w="9525">
                            <a:noFill/>
                          </a:ln>
                        </pic:spPr>
                      </pic:pic>
                    </a:graphicData>
                  </a:graphic>
                </wp:inline>
              </w:drawing>
            </w:r>
          </w:p>
        </w:tc>
      </w:tr>
      <w:tr w:rsidR="00A03A21">
        <w:trPr>
          <w:tblCellSpacing w:w="0" w:type="dxa"/>
        </w:trPr>
        <w:tc>
          <w:tcPr>
            <w:tcW w:w="0" w:type="auto"/>
            <w:shd w:val="clear" w:color="auto" w:fill="FFFFFF"/>
            <w:vAlign w:val="center"/>
          </w:tcPr>
          <w:p w:rsidR="00A03A21" w:rsidRDefault="00A03A21">
            <w:pPr>
              <w:rPr>
                <w:rFonts w:ascii="宋体"/>
                <w:sz w:val="24"/>
              </w:rPr>
            </w:pPr>
          </w:p>
        </w:tc>
      </w:tr>
      <w:tr w:rsidR="00A03A21">
        <w:trPr>
          <w:tblCellSpacing w:w="0" w:type="dxa"/>
        </w:trPr>
        <w:tc>
          <w:tcPr>
            <w:tcW w:w="0" w:type="auto"/>
            <w:shd w:val="clear" w:color="auto" w:fill="FFFFFF"/>
            <w:vAlign w:val="center"/>
          </w:tcPr>
          <w:p w:rsidR="00A03A21" w:rsidRDefault="003F6C28">
            <w:pPr>
              <w:widowControl/>
              <w:jc w:val="center"/>
            </w:pPr>
            <w:r>
              <w:rPr>
                <w:rFonts w:ascii="宋体" w:eastAsia="宋体" w:hAnsi="宋体" w:cs="宋体"/>
                <w:noProof/>
                <w:sz w:val="24"/>
              </w:rPr>
              <w:lastRenderedPageBreak/>
              <w:drawing>
                <wp:inline distT="0" distB="0" distL="114300" distR="114300">
                  <wp:extent cx="6096000" cy="3667125"/>
                  <wp:effectExtent l="19050" t="0" r="0" b="0"/>
                  <wp:docPr id="2" name="图片 3" descr="IMG_25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12" cstate="print"/>
                          <a:srcRect b="9624"/>
                          <a:stretch>
                            <a:fillRect/>
                          </a:stretch>
                        </pic:blipFill>
                        <pic:spPr>
                          <a:xfrm>
                            <a:off x="0" y="0"/>
                            <a:ext cx="6096000" cy="3667125"/>
                          </a:xfrm>
                          <a:prstGeom prst="rect">
                            <a:avLst/>
                          </a:prstGeom>
                          <a:noFill/>
                          <a:ln w="9525">
                            <a:noFill/>
                          </a:ln>
                        </pic:spPr>
                      </pic:pic>
                    </a:graphicData>
                  </a:graphic>
                </wp:inline>
              </w:drawing>
            </w:r>
          </w:p>
        </w:tc>
      </w:tr>
      <w:tr w:rsidR="00A03A21">
        <w:trPr>
          <w:tblCellSpacing w:w="0" w:type="dxa"/>
        </w:trPr>
        <w:tc>
          <w:tcPr>
            <w:tcW w:w="0" w:type="auto"/>
            <w:shd w:val="clear" w:color="auto" w:fill="FFFFFF"/>
            <w:vAlign w:val="center"/>
          </w:tcPr>
          <w:p w:rsidR="00A03A21" w:rsidRDefault="00A03A21">
            <w:pPr>
              <w:rPr>
                <w:rFonts w:ascii="宋体"/>
                <w:sz w:val="24"/>
              </w:rPr>
            </w:pPr>
          </w:p>
        </w:tc>
      </w:tr>
      <w:tr w:rsidR="00A03A21">
        <w:trPr>
          <w:tblCellSpacing w:w="0" w:type="dxa"/>
        </w:trPr>
        <w:tc>
          <w:tcPr>
            <w:tcW w:w="0" w:type="auto"/>
            <w:shd w:val="clear" w:color="auto" w:fill="FFFFFF"/>
            <w:vAlign w:val="center"/>
          </w:tcPr>
          <w:p w:rsidR="00A03A21" w:rsidRDefault="003F6C28">
            <w:pPr>
              <w:widowControl/>
              <w:jc w:val="center"/>
            </w:pPr>
            <w:r>
              <w:rPr>
                <w:rFonts w:ascii="宋体" w:eastAsia="宋体" w:hAnsi="宋体" w:cs="宋体"/>
                <w:noProof/>
                <w:sz w:val="24"/>
              </w:rPr>
              <w:drawing>
                <wp:inline distT="0" distB="0" distL="114300" distR="114300">
                  <wp:extent cx="6096000" cy="4210050"/>
                  <wp:effectExtent l="19050" t="0" r="0" b="0"/>
                  <wp:docPr id="4" name="图片 4" descr="IMG_25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14" cstate="print"/>
                          <a:srcRect b="7917"/>
                          <a:stretch>
                            <a:fillRect/>
                          </a:stretch>
                        </pic:blipFill>
                        <pic:spPr>
                          <a:xfrm>
                            <a:off x="0" y="0"/>
                            <a:ext cx="6096000" cy="4210050"/>
                          </a:xfrm>
                          <a:prstGeom prst="rect">
                            <a:avLst/>
                          </a:prstGeom>
                          <a:noFill/>
                          <a:ln w="9525">
                            <a:noFill/>
                          </a:ln>
                        </pic:spPr>
                      </pic:pic>
                    </a:graphicData>
                  </a:graphic>
                </wp:inline>
              </w:drawing>
            </w:r>
          </w:p>
        </w:tc>
      </w:tr>
      <w:tr w:rsidR="00A03A21">
        <w:trPr>
          <w:tblCellSpacing w:w="0" w:type="dxa"/>
        </w:trPr>
        <w:tc>
          <w:tcPr>
            <w:tcW w:w="0" w:type="auto"/>
            <w:shd w:val="clear" w:color="auto" w:fill="FFFFFF"/>
            <w:vAlign w:val="center"/>
          </w:tcPr>
          <w:p w:rsidR="00A03A21" w:rsidRDefault="00A03A21">
            <w:pPr>
              <w:rPr>
                <w:rFonts w:ascii="宋体"/>
                <w:sz w:val="24"/>
              </w:rPr>
            </w:pPr>
          </w:p>
        </w:tc>
      </w:tr>
      <w:tr w:rsidR="00A03A21">
        <w:trPr>
          <w:tblCellSpacing w:w="0" w:type="dxa"/>
        </w:trPr>
        <w:tc>
          <w:tcPr>
            <w:tcW w:w="0" w:type="auto"/>
            <w:shd w:val="clear" w:color="auto" w:fill="FFFFFF"/>
            <w:vAlign w:val="center"/>
          </w:tcPr>
          <w:p w:rsidR="00A03A21" w:rsidRDefault="00A03A21">
            <w:pPr>
              <w:widowControl/>
              <w:jc w:val="center"/>
            </w:pPr>
          </w:p>
        </w:tc>
      </w:tr>
      <w:tr w:rsidR="00A03A21">
        <w:trPr>
          <w:tblCellSpacing w:w="0" w:type="dxa"/>
        </w:trPr>
        <w:tc>
          <w:tcPr>
            <w:tcW w:w="0" w:type="auto"/>
            <w:shd w:val="clear" w:color="auto" w:fill="FFFFFF"/>
            <w:vAlign w:val="center"/>
          </w:tcPr>
          <w:p w:rsidR="00A03A21" w:rsidRDefault="00A03A21">
            <w:pPr>
              <w:rPr>
                <w:rFonts w:ascii="宋体"/>
                <w:sz w:val="24"/>
              </w:rPr>
            </w:pPr>
          </w:p>
        </w:tc>
      </w:tr>
      <w:tr w:rsidR="00A03A21">
        <w:trPr>
          <w:tblCellSpacing w:w="0" w:type="dxa"/>
        </w:trPr>
        <w:tc>
          <w:tcPr>
            <w:tcW w:w="0" w:type="auto"/>
            <w:shd w:val="clear" w:color="auto" w:fill="FFFFFF"/>
            <w:vAlign w:val="center"/>
          </w:tcPr>
          <w:p w:rsidR="00A03A21" w:rsidRDefault="00A03A21">
            <w:pPr>
              <w:widowControl/>
              <w:jc w:val="center"/>
            </w:pPr>
          </w:p>
        </w:tc>
      </w:tr>
      <w:tr w:rsidR="00A03A21">
        <w:trPr>
          <w:tblCellSpacing w:w="0" w:type="dxa"/>
        </w:trPr>
        <w:tc>
          <w:tcPr>
            <w:tcW w:w="0" w:type="auto"/>
            <w:shd w:val="clear" w:color="auto" w:fill="FFFFFF"/>
            <w:vAlign w:val="center"/>
          </w:tcPr>
          <w:p w:rsidR="00A03A21" w:rsidRDefault="00A03A21">
            <w:pPr>
              <w:rPr>
                <w:rFonts w:ascii="宋体"/>
                <w:sz w:val="24"/>
              </w:rPr>
            </w:pPr>
          </w:p>
        </w:tc>
      </w:tr>
      <w:tr w:rsidR="00A03A21">
        <w:trPr>
          <w:tblCellSpacing w:w="0" w:type="dxa"/>
        </w:trPr>
        <w:tc>
          <w:tcPr>
            <w:tcW w:w="0" w:type="auto"/>
            <w:shd w:val="clear" w:color="auto" w:fill="FFFFFF"/>
            <w:vAlign w:val="center"/>
          </w:tcPr>
          <w:p w:rsidR="00A03A21" w:rsidRDefault="003F6C28">
            <w:pPr>
              <w:widowControl/>
              <w:jc w:val="center"/>
            </w:pPr>
            <w:r>
              <w:rPr>
                <w:rFonts w:ascii="宋体" w:eastAsia="宋体" w:hAnsi="宋体" w:cs="宋体"/>
                <w:noProof/>
                <w:sz w:val="24"/>
              </w:rPr>
              <w:drawing>
                <wp:inline distT="0" distB="0" distL="114300" distR="114300">
                  <wp:extent cx="6096000" cy="4124325"/>
                  <wp:effectExtent l="19050" t="0" r="0" b="0"/>
                  <wp:docPr id="7" name="图片 7" descr="IMG_26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6" cstate="print"/>
                          <a:srcRect b="9792"/>
                          <a:stretch>
                            <a:fillRect/>
                          </a:stretch>
                        </pic:blipFill>
                        <pic:spPr>
                          <a:xfrm>
                            <a:off x="0" y="0"/>
                            <a:ext cx="6096000" cy="4124325"/>
                          </a:xfrm>
                          <a:prstGeom prst="rect">
                            <a:avLst/>
                          </a:prstGeom>
                          <a:noFill/>
                          <a:ln w="9525">
                            <a:noFill/>
                          </a:ln>
                        </pic:spPr>
                      </pic:pic>
                    </a:graphicData>
                  </a:graphic>
                </wp:inline>
              </w:drawing>
            </w:r>
          </w:p>
        </w:tc>
      </w:tr>
    </w:tbl>
    <w:p w:rsidR="00A03A21" w:rsidRDefault="00A03A21"/>
    <w:sectPr w:rsidR="00A03A21" w:rsidSect="00A03A21">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C28" w:rsidRDefault="003F6C28" w:rsidP="00075E97">
      <w:r>
        <w:separator/>
      </w:r>
    </w:p>
  </w:endnote>
  <w:endnote w:type="continuationSeparator" w:id="0">
    <w:p w:rsidR="003F6C28" w:rsidRDefault="003F6C28" w:rsidP="00075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C28" w:rsidRDefault="003F6C28" w:rsidP="00075E97">
      <w:r>
        <w:separator/>
      </w:r>
    </w:p>
  </w:footnote>
  <w:footnote w:type="continuationSeparator" w:id="0">
    <w:p w:rsidR="003F6C28" w:rsidRDefault="003F6C28" w:rsidP="00075E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3E3368D"/>
    <w:rsid w:val="00075E97"/>
    <w:rsid w:val="003F6C28"/>
    <w:rsid w:val="00A03A21"/>
    <w:rsid w:val="43E336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3A21"/>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A03A21"/>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03A21"/>
    <w:pPr>
      <w:spacing w:beforeAutospacing="1" w:afterAutospacing="1"/>
      <w:jc w:val="left"/>
    </w:pPr>
    <w:rPr>
      <w:rFonts w:cs="Times New Roman"/>
      <w:kern w:val="0"/>
      <w:sz w:val="24"/>
    </w:rPr>
  </w:style>
  <w:style w:type="character" w:styleId="a4">
    <w:name w:val="Hyperlink"/>
    <w:basedOn w:val="a0"/>
    <w:rsid w:val="00A03A21"/>
    <w:rPr>
      <w:color w:val="0000FF"/>
      <w:u w:val="single"/>
    </w:rPr>
  </w:style>
  <w:style w:type="paragraph" w:styleId="a5">
    <w:name w:val="header"/>
    <w:basedOn w:val="a"/>
    <w:link w:val="Char"/>
    <w:rsid w:val="00075E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75E97"/>
    <w:rPr>
      <w:rFonts w:asciiTheme="minorHAnsi" w:eastAsiaTheme="minorEastAsia" w:hAnsiTheme="minorHAnsi" w:cstheme="minorBidi"/>
      <w:kern w:val="2"/>
      <w:sz w:val="18"/>
      <w:szCs w:val="18"/>
    </w:rPr>
  </w:style>
  <w:style w:type="paragraph" w:styleId="a6">
    <w:name w:val="footer"/>
    <w:basedOn w:val="a"/>
    <w:link w:val="Char0"/>
    <w:rsid w:val="00075E97"/>
    <w:pPr>
      <w:tabs>
        <w:tab w:val="center" w:pos="4153"/>
        <w:tab w:val="right" w:pos="8306"/>
      </w:tabs>
      <w:snapToGrid w:val="0"/>
      <w:jc w:val="left"/>
    </w:pPr>
    <w:rPr>
      <w:sz w:val="18"/>
      <w:szCs w:val="18"/>
    </w:rPr>
  </w:style>
  <w:style w:type="character" w:customStyle="1" w:styleId="Char0">
    <w:name w:val="页脚 Char"/>
    <w:basedOn w:val="a0"/>
    <w:link w:val="a6"/>
    <w:rsid w:val="00075E97"/>
    <w:rPr>
      <w:rFonts w:asciiTheme="minorHAnsi" w:eastAsiaTheme="minorEastAsia" w:hAnsiTheme="minorHAnsi" w:cstheme="minorBidi"/>
      <w:kern w:val="2"/>
      <w:sz w:val="18"/>
      <w:szCs w:val="18"/>
    </w:rPr>
  </w:style>
  <w:style w:type="paragraph" w:styleId="a7">
    <w:name w:val="Balloon Text"/>
    <w:basedOn w:val="a"/>
    <w:link w:val="Char1"/>
    <w:rsid w:val="00075E97"/>
    <w:rPr>
      <w:sz w:val="18"/>
      <w:szCs w:val="18"/>
    </w:rPr>
  </w:style>
  <w:style w:type="character" w:customStyle="1" w:styleId="Char1">
    <w:name w:val="批注框文本 Char"/>
    <w:basedOn w:val="a0"/>
    <w:link w:val="a7"/>
    <w:rsid w:val="00075E9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0.58.100.200/getnewmedias.aspx?id=505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58.100.200/getnewmedias.aspx?id=50596"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10.58.100.200/getnewmedias.aspx?id=50598" TargetMode="External"/><Relationship Id="rId5" Type="http://schemas.openxmlformats.org/officeDocument/2006/relationships/footnotes" Target="footnotes.xml"/><Relationship Id="rId15" Type="http://schemas.openxmlformats.org/officeDocument/2006/relationships/hyperlink" Target="http://10.58.100.200/getnewmedias.aspx?id=50602"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10.58.100.200/getnewmedias.aspx?id=50597" TargetMode="Externa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THNoteBook</dc:creator>
  <cp:lastModifiedBy>Administrator</cp:lastModifiedBy>
  <cp:revision>2</cp:revision>
  <dcterms:created xsi:type="dcterms:W3CDTF">2019-12-24T04:47:00Z</dcterms:created>
  <dcterms:modified xsi:type="dcterms:W3CDTF">2019-12-24T04:47:00Z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