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t xml:space="preserve">                  教坛名家展风采 </w:t>
      </w:r>
      <w:r>
        <w:rPr>
          <w:lang w:val="en-US"/>
        </w:rPr>
        <w:t>组内交流</w:t>
      </w:r>
      <w:r>
        <w:t>取真经</w:t>
      </w:r>
    </w:p>
    <w:p>
      <w:pPr>
        <w:pStyle w:val="style0"/>
        <w:rPr/>
      </w:pPr>
      <w:r>
        <w:t xml:space="preserve">             </w:t>
      </w:r>
      <w:r>
        <w:rPr>
          <w:lang w:val="en-US"/>
        </w:rPr>
        <w:t xml:space="preserve">                         </w:t>
      </w:r>
      <w:r>
        <w:t xml:space="preserve"> </w:t>
      </w:r>
      <w:r>
        <w:rPr>
          <w:lang w:val="en-US"/>
        </w:rPr>
        <w:t>——二年级组内讲座</w:t>
      </w:r>
    </w:p>
    <w:p>
      <w:pPr>
        <w:pStyle w:val="style0"/>
        <w:rPr/>
      </w:pPr>
      <w:r>
        <w:rPr>
          <w:lang w:val="en-US"/>
        </w:rPr>
        <w:t xml:space="preserve">                                            棠湖中学实验学校樊丽萍</w:t>
      </w:r>
    </w:p>
    <w:p>
      <w:pPr>
        <w:pStyle w:val="style0"/>
        <w:rPr/>
      </w:pPr>
      <w:r>
        <w:rPr>
          <w:lang w:val="en-US"/>
        </w:rPr>
        <w:t xml:space="preserve">     </w:t>
      </w:r>
      <w:r>
        <w:t>在教育改革创新的时代主题下，教师的学习赋能是创新的推进器。为促进工作室学员更新教育教学理念，2020年11月21日，周晓玲名师工作室学员在导师的带领下，参加了区教育局举办的“瞿上讲堂”第三十六、三十七次讲座</w:t>
      </w:r>
      <w:r>
        <w:rPr>
          <w:lang w:val="en-US"/>
        </w:rPr>
        <w:t>，组内交流。</w:t>
      </w:r>
    </w:p>
    <w:p>
      <w:pPr>
        <w:pStyle w:val="style0"/>
        <w:rPr/>
      </w:pPr>
      <w:r>
        <w:rPr>
          <w:lang w:val="en-US"/>
        </w:rPr>
        <w:t xml:space="preserve">     </w:t>
      </w:r>
      <w:r>
        <w:t>上午，参会人员聆听了华东师范大学课程与教学研究所所长、教授、博士生导师崔永漷所作的精彩专题讲座《学历案：教案的革命》。崔教授以即将颁布的新课程标准为依据，分析了教学方案为什么需要专业化：教与学的关系应该是学主教从，以学定教，先学后教。教是为了更好地学习，所以需要专业的设计、专业的实施和专业的评估。因此，教师应该以学生为立场，从期望学生学会什么出发，以专业的方案呈现学生从不知到知，从少知到多知的学习历程。崔教授指出，学历案就是教师以课程视角、学习视角、单元视角来设计的便于学生更好地学习教材的教育方案。其要素有名称与课时、学习目标、评价任务、学习过程、作业与检测、学后反思。接下来，崔教授详细讲解了学习目标的叙写应指向学科素养，让至少三分之二的学生可以达成，目标告诉学生的是学习结果，评价任务则告诉学生在什么情境用什么知识完成什么任务。评价任务与目标要相匹配，并且评价任务要嵌入教学的过程。对于作业的设计，崔教授提出了要明确目标，控制难度，把握适度，体现差异的建议。最后，崔教授还和大家探讨了如何避免实施中的模式化，如何提升学历案的专业化等问题。</w:t>
      </w:r>
    </w:p>
    <w:p>
      <w:pPr>
        <w:pStyle w:val="style0"/>
        <w:ind w:firstLineChars="200"/>
        <w:rPr/>
      </w:pPr>
      <w:r>
        <w:t>下午，教育学博士，华东师范大学课程与教学系主任，副教授周文叶所作的《基于标准的课程纲要研制》讲座也让大家从顶层设计的角度了解了课程纲要的研发与制作。周博士从为什么需要学期课程纲要、学期课程纲要是什么、如何研制学期课程纲要、如何审评学期课程纲要四个方面为大家作了详细阐释。</w:t>
      </w:r>
    </w:p>
    <w:p>
      <w:pPr>
        <w:pStyle w:val="style0"/>
        <w:ind w:firstLineChars="200"/>
        <w:rPr/>
      </w:pPr>
      <w:r>
        <w:t>在过去的一年中，学历案的研究和实施已经成为了周晓玲工作室研讨的主题，今天充实的学习让学员们接触了新的理论，更具体地了解了学历案设计的方法，相信带着这满满的收获，学员们一定会在融合语文研究的道路上行而有思，思而行远！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852</Words>
  <Characters>859</Characters>
  <Application>WPS Office</Application>
  <Paragraphs>7</Paragraphs>
  <CharactersWithSpaces>971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2020-11-24T00:34:39Z</dcterms:created>
  <dc:creator>VKY-AL00</dc:creator>
  <lastModifiedBy>VKY-AL00</lastModifiedBy>
  <dcterms:modified xsi:type="dcterms:W3CDTF">2020-12-22T10:34:34Z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