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255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591"/>
        <w:gridCol w:w="1987"/>
        <w:gridCol w:w="283"/>
        <w:gridCol w:w="1418"/>
        <w:gridCol w:w="3607"/>
        <w:gridCol w:w="1071"/>
        <w:gridCol w:w="354"/>
        <w:gridCol w:w="2339"/>
        <w:gridCol w:w="5616"/>
        <w:gridCol w:w="60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375" w:hRule="atLeast"/>
        </w:trPr>
        <w:tc>
          <w:tcPr>
            <w:tcW w:w="13892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hAnsi="Times New Roman" w:eastAsia="黑体"/>
                <w:b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36"/>
                <w:szCs w:val="36"/>
              </w:rPr>
              <w:t>成都市双流区音乐名教师工作室课堂教学设计方案</w:t>
            </w:r>
          </w:p>
          <w:p>
            <w:pPr>
              <w:widowControl/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  <w:t>学校：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  <w:lang w:eastAsia="zh-CN"/>
              </w:rPr>
              <w:t>成都市双流区双华小学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  <w:t xml:space="preserve">       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  <w:t>授课时间：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2020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6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  <w:lang w:val="en-US" w:eastAsia="zh-CN"/>
              </w:rPr>
              <w:t>22</w:t>
            </w:r>
            <w:r>
              <w:rPr>
                <w:rFonts w:ascii="Times New Roman" w:hAnsi="Times New Roman" w:eastAsia="黑体"/>
                <w:b/>
                <w:color w:val="000000"/>
                <w:kern w:val="0"/>
                <w:sz w:val="28"/>
                <w:szCs w:val="28"/>
                <w:u w:val="single"/>
              </w:rPr>
              <w:t xml:space="preserve">   </w:t>
            </w: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8"/>
                <w:szCs w:val="28"/>
              </w:rPr>
              <w:t>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551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课题名称</w:t>
            </w:r>
          </w:p>
        </w:tc>
        <w:tc>
          <w:tcPr>
            <w:tcW w:w="386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2"/>
                <w:lang w:eastAsia="zh-CN"/>
              </w:rPr>
              <w:t>《转圆圈》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课型设计</w:t>
            </w:r>
          </w:p>
        </w:tc>
        <w:tc>
          <w:tcPr>
            <w:tcW w:w="360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ind w:firstLine="220" w:firstLineChars="100"/>
              <w:jc w:val="left"/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2"/>
                <w:lang w:eastAsia="zh-CN"/>
              </w:rPr>
              <w:t>唱歌综合课</w:t>
            </w:r>
          </w:p>
        </w:tc>
        <w:tc>
          <w:tcPr>
            <w:tcW w:w="142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教学时间</w:t>
            </w:r>
          </w:p>
        </w:tc>
        <w:tc>
          <w:tcPr>
            <w:tcW w:w="23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/>
                <w:b w:val="0"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2"/>
                <w:lang w:val="en-US" w:eastAsia="zh-CN"/>
              </w:rPr>
              <w:t>40分钟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491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教材版本</w:t>
            </w:r>
          </w:p>
        </w:tc>
        <w:tc>
          <w:tcPr>
            <w:tcW w:w="386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lang w:eastAsia="zh-CN"/>
              </w:rPr>
              <w:t>人音版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</w:rPr>
              <w:t>教学年级</w:t>
            </w:r>
          </w:p>
        </w:tc>
        <w:tc>
          <w:tcPr>
            <w:tcW w:w="3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仿宋" w:eastAsia="仿宋"/>
                <w:b w:val="0"/>
                <w:bCs/>
                <w:color w:val="000000"/>
                <w:kern w:val="0"/>
                <w:sz w:val="22"/>
              </w:rPr>
              <w:t>　</w:t>
            </w:r>
            <w:r>
              <w:rPr>
                <w:rFonts w:hint="eastAsia" w:ascii="Times New Roman" w:hAnsi="仿宋" w:eastAsia="仿宋"/>
                <w:b w:val="0"/>
                <w:bCs/>
                <w:color w:val="000000"/>
                <w:kern w:val="0"/>
                <w:sz w:val="22"/>
                <w:lang w:val="en-US" w:eastAsia="zh-CN"/>
              </w:rPr>
              <w:t>6年级</w:t>
            </w:r>
          </w:p>
        </w:tc>
        <w:tc>
          <w:tcPr>
            <w:tcW w:w="14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任课教师</w:t>
            </w:r>
          </w:p>
        </w:tc>
        <w:tc>
          <w:tcPr>
            <w:tcW w:w="23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2"/>
                <w:lang w:eastAsia="zh-CN"/>
              </w:rPr>
              <w:t>杨应芝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663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教学内容</w:t>
            </w:r>
          </w:p>
        </w:tc>
        <w:tc>
          <w:tcPr>
            <w:tcW w:w="52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noWrap/>
            <w:vAlign w:val="center"/>
          </w:tcPr>
          <w:p>
            <w:pPr>
              <w:spacing w:line="360" w:lineRule="auto"/>
              <w:ind w:firstLine="480" w:firstLineChars="200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学唱歌曲《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转圆圈</w:t>
            </w:r>
            <w:r>
              <w:rPr>
                <w:rFonts w:hint="eastAsia" w:ascii="宋体" w:hAnsi="宋体" w:cs="宋体"/>
                <w:sz w:val="24"/>
              </w:rPr>
              <w:t>》</w:t>
            </w:r>
          </w:p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</w:p>
        </w:tc>
        <w:tc>
          <w:tcPr>
            <w:tcW w:w="7371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1100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学情分析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firstLine="560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六年级学生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在音乐审美能力方面有所提高，课堂上能积极参与各种演唱活动，对老师的要求做出恰当的反应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，大部分学生演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唱歌曲姿势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较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正确，声音自然流畅，节奏音准较好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，能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随老师的琴声哼唱出旋律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但单独视唱还有困难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。部分学生已进入变声期，心理、生理处于矛盾期，教师在教学过程中，需积极引导，渗入变声期嗓音保护知识。</w:t>
            </w:r>
          </w:p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</w:p>
          <w:p>
            <w:pPr>
              <w:pStyle w:val="10"/>
              <w:widowControl/>
              <w:ind w:firstLine="0" w:firstLineChars="0"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270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教学目标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1、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通过欣赏、探究，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引导学生感受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/>
              </w:rPr>
              <w:t>2/4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拍和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/>
              </w:rPr>
              <w:t>3/4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拍的不同韵律感，并随音乐做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简单舞蹈动作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2、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通过感受、体验，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引导学生感受歌曲两部分的情绪对比，体验歌曲意境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3、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通过学习，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感受撒尼族人载歌载舞的欢快热烈的气氛，激发学生对我国各民族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音乐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的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喜爱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。</w:t>
            </w:r>
          </w:p>
          <w:p>
            <w:pPr>
              <w:widowControl/>
              <w:jc w:val="left"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270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教学方法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/>
                <w:b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仿宋"/>
                <w:b w:val="0"/>
                <w:bCs/>
                <w:color w:val="000000"/>
                <w:kern w:val="0"/>
                <w:sz w:val="24"/>
                <w:szCs w:val="24"/>
                <w:lang w:eastAsia="zh-CN"/>
              </w:rPr>
              <w:t>体验性音乐教学方法、实践性音乐教学发、语言性音乐教学法、探究性音乐教学法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270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教学重点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outlineLvl w:val="9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完整演唱歌曲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，获得情感体验，培养学生音乐审美、创新综合能力</w:t>
            </w:r>
          </w:p>
          <w:p>
            <w:pPr>
              <w:widowControl/>
              <w:jc w:val="left"/>
              <w:rPr>
                <w:rFonts w:ascii="Times New Roman" w:hAnsi="仿宋" w:eastAsia="仿宋"/>
                <w:b/>
                <w:color w:val="000000"/>
                <w:kern w:val="0"/>
                <w:sz w:val="22"/>
              </w:rPr>
            </w:pPr>
          </w:p>
          <w:p>
            <w:pPr>
              <w:widowControl/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630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黑体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教学难点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感受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、体验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歌曲意境，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在课堂活动参与中，表现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  <w:t>歌曲欢快愉悦的情绪。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558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jc w:val="left"/>
              <w:rPr>
                <w:rFonts w:ascii="Times New Roman" w:hAnsi="黑体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课程资源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spacing w:line="360" w:lineRule="auto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</w:rPr>
              <w:t>钢琴、多媒体、</w:t>
            </w:r>
            <w:r>
              <w:rPr>
                <w:rFonts w:hint="eastAsia" w:ascii="宋体" w:hAnsi="宋体" w:cs="宋体"/>
                <w:color w:val="000000"/>
                <w:sz w:val="24"/>
              </w:rPr>
              <w:t>彝族服饰</w:t>
            </w: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、铃鼓</w:t>
            </w:r>
          </w:p>
          <w:p>
            <w:pPr>
              <w:jc w:val="left"/>
              <w:rPr>
                <w:rFonts w:ascii="Times New Roman" w:hAnsi="仿宋" w:eastAsia="仿宋"/>
                <w:b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393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hAnsi="黑体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课前准备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/>
          </w:tcPr>
          <w:p>
            <w:pPr>
              <w:widowControl/>
              <w:rPr>
                <w:rFonts w:ascii="Times New Roman" w:hAnsi="黑体" w:eastAsia="黑体"/>
                <w:b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</w:rPr>
              <w:t>教学过程</w:t>
            </w: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</w:rPr>
              <w:t>教学环节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</w:rPr>
              <w:t>教师教学活动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</w:rPr>
              <w:t>学生学习活动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2"/>
              </w:rPr>
              <w:t>设计意图</w:t>
            </w:r>
          </w:p>
        </w:tc>
        <w:tc>
          <w:tcPr>
            <w:tcW w:w="5616" w:type="dxa"/>
            <w:vMerge w:val="restart"/>
          </w:tcPr>
          <w:p>
            <w:pPr>
              <w:widowControl/>
              <w:jc w:val="left"/>
              <w:rPr>
                <w:b/>
              </w:rPr>
            </w:pPr>
          </w:p>
        </w:tc>
        <w:tc>
          <w:tcPr>
            <w:tcW w:w="6032" w:type="dxa"/>
            <w:vMerge w:val="restart"/>
            <w:tcBorders>
              <w:top w:val="nil"/>
              <w:left w:val="nil"/>
              <w:right w:val="single" w:color="auto" w:sz="4" w:space="0"/>
            </w:tcBorders>
          </w:tcPr>
          <w:p>
            <w:pPr>
              <w:widowControl/>
              <w:jc w:val="left"/>
              <w:rPr>
                <w:b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设计意图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黑体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2"/>
              </w:rPr>
              <w:t>教学导入</w:t>
            </w: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eastAsia="黑体"/>
                <w:b w:val="0"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黑体"/>
                <w:b w:val="0"/>
                <w:bCs/>
                <w:color w:val="000000"/>
                <w:kern w:val="0"/>
                <w:sz w:val="22"/>
                <w:lang w:eastAsia="zh-CN"/>
              </w:rPr>
              <w:t>情境导入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eastAsia="黑体"/>
                <w:b w:val="0"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/>
              </w:rPr>
              <w:t>创设意境（宁静的夜晚，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val="en-US" w:eastAsia="zh-CN"/>
              </w:rPr>
              <w:t>月亮出来了，人们跳起欢快的舞蹈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/>
              </w:rPr>
              <w:t>）；进行歌唱发声训练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/>
              </w:rPr>
              <w:t>进一步感受歌曲的情绪，联想歌曲意境。</w:t>
            </w:r>
          </w:p>
          <w:p>
            <w:pP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/>
              </w:rPr>
              <w:t>用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val="en-US" w:eastAsia="zh-CN"/>
              </w:rPr>
              <w:t>U来歌唱歌曲的第一部分旋律。</w:t>
            </w:r>
          </w:p>
          <w:p>
            <w:pPr>
              <w:jc w:val="center"/>
              <w:rPr>
                <w:rFonts w:hint="eastAsia" w:ascii="Times New Roman" w:hAnsi="Times New Roman" w:eastAsia="黑体"/>
                <w:b w:val="0"/>
                <w:bCs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Times New Roman" w:hAnsi="Times New Roman" w:eastAsia="黑体"/>
                <w:b w:val="0"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/>
              </w:rPr>
              <w:t>体会歌曲意境，感受歌曲两部分情绪对比，建立学生良好歌唱的习惯</w:t>
            </w:r>
            <w:r>
              <w:rPr>
                <w:rFonts w:hint="eastAsia" w:ascii="Times New Roman" w:hAnsi="Times New Roman" w:eastAsia="黑体"/>
                <w:b w:val="0"/>
                <w:bCs/>
                <w:color w:val="000000"/>
                <w:kern w:val="0"/>
                <w:sz w:val="22"/>
                <w:lang w:eastAsia="zh-CN"/>
              </w:rPr>
              <w:t>。</w:t>
            </w:r>
          </w:p>
        </w:tc>
        <w:tc>
          <w:tcPr>
            <w:tcW w:w="5616" w:type="dxa"/>
            <w:vMerge w:val="continue"/>
          </w:tcPr>
          <w:p>
            <w:pPr>
              <w:widowControl/>
              <w:jc w:val="left"/>
              <w:rPr>
                <w:b/>
              </w:rPr>
            </w:pPr>
          </w:p>
        </w:tc>
        <w:tc>
          <w:tcPr>
            <w:tcW w:w="6032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黑体" w:eastAsia="黑体"/>
                <w:b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795" w:hRule="atLeast"/>
        </w:trPr>
        <w:tc>
          <w:tcPr>
            <w:tcW w:w="124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extDirection w:val="tbRlV"/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Times New Roman" w:hAnsi="Times New Roman" w:eastAsia="黑体"/>
                <w:b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spacing w:val="5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黑体"/>
                <w:b/>
                <w:color w:val="000000"/>
                <w:spacing w:val="5"/>
                <w:kern w:val="0"/>
                <w:sz w:val="24"/>
                <w:szCs w:val="24"/>
              </w:rPr>
              <w:t xml:space="preserve">       </w:t>
            </w:r>
            <w:r>
              <w:rPr>
                <w:rFonts w:hint="eastAsia" w:ascii="Times New Roman" w:hAnsi="Times New Roman" w:eastAsia="黑体"/>
                <w:b/>
                <w:color w:val="000000"/>
                <w:spacing w:val="14"/>
                <w:w w:val="95"/>
                <w:kern w:val="0"/>
                <w:sz w:val="24"/>
                <w:szCs w:val="24"/>
                <w:fitText w:val="980" w:id="0"/>
              </w:rPr>
              <w:t>教学新</w:t>
            </w:r>
            <w:r>
              <w:rPr>
                <w:rFonts w:hint="eastAsia" w:ascii="Times New Roman" w:hAnsi="Times New Roman" w:eastAsia="黑体"/>
                <w:b/>
                <w:color w:val="000000"/>
                <w:spacing w:val="2"/>
                <w:w w:val="95"/>
                <w:kern w:val="0"/>
                <w:sz w:val="24"/>
                <w:szCs w:val="24"/>
                <w:fitText w:val="980" w:id="0"/>
              </w:rPr>
              <w:t>课</w:t>
            </w: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仿宋" w:eastAsia="仿宋"/>
                <w:b w:val="0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仿宋" w:eastAsia="仿宋"/>
                <w:b w:val="0"/>
                <w:bCs/>
                <w:color w:val="000000"/>
                <w:kern w:val="0"/>
                <w:sz w:val="22"/>
              </w:rPr>
              <w:t xml:space="preserve"> </w:t>
            </w:r>
          </w:p>
          <w:p>
            <w:pPr>
              <w:widowControl/>
              <w:jc w:val="left"/>
              <w:rPr>
                <w:rFonts w:ascii="Times New Roman" w:hAnsi="仿宋" w:eastAsia="仿宋"/>
                <w:b w:val="0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/>
              </w:rPr>
              <w:t>引导、探究歌曲的旋律</w:t>
            </w:r>
          </w:p>
          <w:p>
            <w:pPr>
              <w:widowControl/>
              <w:rPr>
                <w:rFonts w:ascii="Times New Roman" w:hAnsi="Times New Roman" w:eastAsia="黑体"/>
                <w:b w:val="0"/>
                <w:bCs/>
                <w:color w:val="000000"/>
                <w:kern w:val="0"/>
                <w:sz w:val="22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Times New Roman" w:hAnsi="Times New Roman" w:eastAsia="黑体"/>
                <w:b w:val="0"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/>
              </w:rPr>
              <w:t>探究歌曲的旋律，通过跟唱、模唱、律动等学法，识读歌曲旋律谱，进一步感知歌曲前后两部分的不同音乐表现风格，积极参与音乐实践活动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Times New Roman" w:hAnsi="Times New Roman" w:eastAsia="黑体"/>
                <w:b w:val="0"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/>
              </w:rPr>
              <w:t>探究歌曲的旋律，通过跟唱、模唱、律动等学法，识读歌曲旋律谱，进一步感知歌曲前后两部分的不同音乐表现风格，积极参与音乐实践活动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Times New Roman" w:hAnsi="Times New Roman" w:eastAsia="黑体"/>
                <w:b w:val="0"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/>
              </w:rPr>
              <w:t>能较准确的歌唱旋律；进一步感知歌曲前后两部分的不同音乐表现风格，明确撒尼族音乐的特点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915" w:hRule="atLeast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仿宋" w:eastAsia="仿宋"/>
                <w:b w:val="0"/>
                <w:bCs/>
                <w:color w:val="000000"/>
                <w:kern w:val="0"/>
                <w:sz w:val="22"/>
              </w:rPr>
            </w:pPr>
          </w:p>
          <w:p>
            <w:pPr>
              <w:rPr>
                <w:rFonts w:ascii="Times New Roman" w:hAnsi="仿宋" w:eastAsia="仿宋"/>
                <w:b w:val="0"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/>
              </w:rPr>
              <w:t>引导、探究歌曲的旋律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hint="default" w:ascii="Times New Roman" w:hAnsi="Times New Roman" w:eastAsia="黑体"/>
                <w:b w:val="0"/>
                <w:bCs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val="en-US" w:eastAsia="zh-CN"/>
              </w:rPr>
              <w:t>引导、探究歌词、运用多种方式进行歌曲演唱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Times New Roman" w:hAnsi="Times New Roman" w:eastAsia="黑体"/>
                <w:b w:val="0"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val="en-US" w:eastAsia="zh-CN"/>
              </w:rPr>
              <w:t>通过听唱、模唱等学法学唱歌词，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感受撒尼族人载歌载舞的欢快热烈的气氛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val="en-US" w:eastAsia="zh-CN"/>
              </w:rPr>
              <w:t>观察模仿教师的律动动作，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/>
              </w:rPr>
              <w:t>尝试用串铃等课堂乐器为歌曲伴奏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/>
              </w:rPr>
              <w:t>学会歌词演唱，体会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撒尼族人载歌载舞的欢快热烈的气氛</w:t>
            </w:r>
          </w:p>
          <w:p>
            <w:pPr>
              <w:widowControl/>
              <w:jc w:val="center"/>
              <w:rPr>
                <w:rFonts w:ascii="Times New Roman" w:hAnsi="Times New Roman" w:eastAsia="黑体"/>
                <w:b w:val="0"/>
                <w:bCs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1080" w:hRule="atLeast"/>
        </w:trPr>
        <w:tc>
          <w:tcPr>
            <w:tcW w:w="1242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tbRlV"/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spacing w:val="5"/>
                <w:kern w:val="0"/>
                <w:sz w:val="24"/>
                <w:szCs w:val="24"/>
              </w:rPr>
            </w:pP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仿宋"/>
                <w:b w:val="0"/>
                <w:bCs/>
                <w:color w:val="000000"/>
                <w:kern w:val="0"/>
                <w:sz w:val="22"/>
              </w:rPr>
            </w:pPr>
          </w:p>
          <w:p>
            <w:pPr>
              <w:rPr>
                <w:rFonts w:hint="eastAsia" w:ascii="Times New Roman" w:hAnsi="仿宋" w:eastAsia="仿宋"/>
                <w:b w:val="0"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val="en-US" w:eastAsia="zh-CN"/>
              </w:rPr>
              <w:t>歌曲二度创作</w:t>
            </w: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numPr>
                <w:ilvl w:val="0"/>
                <w:numId w:val="0"/>
              </w:numPr>
              <w:jc w:val="both"/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/>
              </w:rPr>
              <w:t>提出歌曲二度创作要求，分组指导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hint="eastAsia" w:ascii="Times New Roman" w:hAnsi="Times New Roman" w:eastAsia="黑体"/>
                <w:b w:val="0"/>
                <w:bCs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/>
              </w:rPr>
              <w:t>利用课程资源（串铃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val="en-US" w:eastAsia="zh-CN"/>
              </w:rPr>
              <w:t>...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/>
              </w:rPr>
              <w:t>），进行大胆创作与表演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/>
              </w:rPr>
              <w:t>充分调动学生积极参与课堂活动，为歌曲进行二度创作，能用串铃等课堂乐器为歌曲伴奏，并能随歌声载歌载舞。</w:t>
            </w:r>
          </w:p>
          <w:p>
            <w:pPr>
              <w:widowControl/>
              <w:jc w:val="center"/>
              <w:rPr>
                <w:rFonts w:ascii="Times New Roman" w:hAnsi="Times New Roman" w:eastAsia="黑体"/>
                <w:b w:val="0"/>
                <w:bCs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451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黑体" w:eastAsia="黑体"/>
                <w:b/>
                <w:color w:val="000000"/>
                <w:kern w:val="0"/>
                <w:sz w:val="24"/>
                <w:szCs w:val="24"/>
              </w:rPr>
              <w:t>教学拓展</w:t>
            </w:r>
          </w:p>
        </w:tc>
        <w:tc>
          <w:tcPr>
            <w:tcW w:w="15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表现歌曲</w:t>
            </w:r>
          </w:p>
          <w:p>
            <w:pPr>
              <w:widowControl/>
              <w:jc w:val="left"/>
              <w:rPr>
                <w:rFonts w:ascii="Times New Roman" w:hAnsi="仿宋" w:eastAsia="仿宋"/>
                <w:b w:val="0"/>
                <w:bCs/>
                <w:color w:val="000000"/>
                <w:kern w:val="0"/>
                <w:sz w:val="22"/>
              </w:rPr>
            </w:pPr>
          </w:p>
        </w:tc>
        <w:tc>
          <w:tcPr>
            <w:tcW w:w="1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eastAsia" w:ascii="宋体" w:hAnsi="宋体" w:cs="宋体"/>
                <w:b w:val="0"/>
                <w:bCs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/>
              </w:rPr>
              <w:t>与学生一起分组、集体进行课堂创作表演活动（分组演唱、伴奏、舞蹈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val="en-US" w:eastAsia="zh-CN"/>
              </w:rPr>
              <w:t>...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/>
              </w:rPr>
              <w:t>积极参与歌曲二度创作与表演</w:t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/>
              </w:rPr>
              <w:t>充分调动学生积极参与课堂活动，为歌曲进行二度创作，能用串铃等课堂乐器为歌曲伴奏，并能随歌声载歌载舞。</w:t>
            </w:r>
          </w:p>
          <w:p>
            <w:pPr>
              <w:widowControl/>
              <w:jc w:val="left"/>
              <w:rPr>
                <w:rFonts w:ascii="Times New Roman" w:hAnsi="Times New Roman" w:eastAsia="仿宋"/>
                <w:b w:val="0"/>
                <w:bCs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trHeight w:val="414" w:hRule="atLeast"/>
        </w:trPr>
        <w:tc>
          <w:tcPr>
            <w:tcW w:w="124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  <w:t>教学小结</w:t>
            </w:r>
          </w:p>
        </w:tc>
        <w:tc>
          <w:tcPr>
            <w:tcW w:w="12650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numPr>
                <w:ilvl w:val="0"/>
                <w:numId w:val="0"/>
              </w:numPr>
              <w:jc w:val="left"/>
              <w:rPr>
                <w:rFonts w:hint="default" w:ascii="宋体" w:hAnsi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/>
              </w:rPr>
              <w:t>学会歌曲的演唱，掌握撒尼族的音乐特点，感受歌曲带来的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</w:rPr>
              <w:t>欢快热烈气氛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eastAsia="zh-CN"/>
              </w:rPr>
              <w:t>，提高了同学们审美、创新、艺术表现的能力，增强了同学们的文化自信感，提升了同学艺术素养。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cantSplit/>
          <w:trHeight w:val="450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rPr>
                <w:rFonts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  <w:t>教学评价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left"/>
              <w:rPr>
                <w:rFonts w:ascii="Times New Roman" w:hAnsi="Times New Roman" w:eastAsia="仿宋"/>
                <w:b w:val="0"/>
                <w:bCs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cantSplit/>
          <w:trHeight w:val="696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  <w:t>教学板书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4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val="en-US" w:eastAsia="zh-CN"/>
              </w:rPr>
              <w:t xml:space="preserve"> 转  圆  圈</w:t>
            </w:r>
          </w:p>
          <w:p>
            <w:pPr>
              <w:numPr>
                <w:ilvl w:val="0"/>
                <w:numId w:val="0"/>
              </w:numPr>
              <w:spacing w:line="360" w:lineRule="auto"/>
              <w:rPr>
                <w:rFonts w:hint="default" w:ascii="宋体" w:hAnsi="宋体" w:cs="宋体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val="en-US" w:eastAsia="zh-CN"/>
              </w:rPr>
              <w:object>
                <v:shape id="_x0000_i1025" o:spt="75" type="#_x0000_t75" style="height:31pt;width:12pt;" o:ole="t" filled="f" o:preferrelative="t" stroked="f" coordsize="21600,21600">
                  <v:path/>
                  <v:fill on="f" focussize="0,0"/>
                  <v:stroke on="f"/>
                  <v:imagedata r:id="rId6" o:title=""/>
                  <o:lock v:ext="edit" aspectratio="t"/>
                  <w10:wrap type="none"/>
                  <w10:anchorlock/>
                </v:shape>
                <o:OLEObject Type="Embed" ProgID="Equation.KSEE3" ShapeID="_x0000_i1025" DrawAspect="Content" ObjectID="_1468075725" r:id="rId5">
                  <o:LockedField>false</o:LockedField>
                </o:OLEObject>
              </w:objec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val="en-US" w:eastAsia="zh-CN"/>
              </w:rPr>
              <w:object>
                <v:shape id="_x0000_i1026" o:spt="75" type="#_x0000_t75" style="height:31pt;width:12pt;" o:ole="t" filled="f" o:preferrelative="t" stroked="f" coordsize="21600,21600">
                  <v:path/>
                  <v:fill on="f" focussize="0,0"/>
                  <v:stroke on="f"/>
                  <v:imagedata r:id="rId8" o:title=""/>
                  <o:lock v:ext="edit" aspectratio="t"/>
                  <w10:wrap type="none"/>
                  <w10:anchorlock/>
                </v:shape>
                <o:OLEObject Type="Embed" ProgID="Equation.KSEE3" ShapeID="_x0000_i1026" DrawAspect="Content" ObjectID="_1468075726" r:id="rId7">
                  <o:LockedField>false</o:LockedField>
                </o:OLEObject>
              </w:object>
            </w:r>
            <w:r>
              <w:rPr>
                <w:rFonts w:hint="eastAsia" w:ascii="宋体" w:hAnsi="宋体" w:eastAsia="宋体" w:cs="宋体"/>
                <w:b/>
                <w:bCs/>
                <w:sz w:val="18"/>
                <w:szCs w:val="18"/>
                <w:lang w:val="en-US" w:eastAsia="zh-CN"/>
              </w:rPr>
              <w:t>变拍子                                    撒尼族</w:t>
            </w:r>
          </w:p>
          <w:p>
            <w:pPr>
              <w:widowControl/>
              <w:jc w:val="left"/>
              <w:rPr>
                <w:rFonts w:ascii="Times New Roman" w:hAnsi="Times New Roman" w:eastAsia="仿宋"/>
                <w:b w:val="0"/>
                <w:bCs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1648" w:type="dxa"/>
          <w:cantSplit/>
          <w:trHeight w:val="975" w:hRule="atLeast"/>
        </w:trPr>
        <w:tc>
          <w:tcPr>
            <w:tcW w:w="1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/>
                <w:b/>
                <w:color w:val="000000"/>
                <w:kern w:val="0"/>
                <w:sz w:val="24"/>
                <w:szCs w:val="24"/>
              </w:rPr>
              <w:t>教学反思</w:t>
            </w:r>
          </w:p>
        </w:tc>
        <w:tc>
          <w:tcPr>
            <w:tcW w:w="1265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r>
              <w:rPr>
                <w:rFonts w:hint="eastAsia"/>
                <w:lang w:eastAsia="zh-CN"/>
              </w:rPr>
              <w:t>《</w:t>
            </w:r>
            <w:bookmarkStart w:id="0" w:name="_GoBack"/>
            <w:bookmarkEnd w:id="0"/>
            <w:r>
              <w:rPr>
                <w:rFonts w:hint="eastAsia"/>
              </w:rPr>
              <w:t>转圆圈》是一首撒尼族民歌，歌曲前两个乐句节奏自由、速度缓慢，勾勒了明月初升的宁静夜色，我让学生边听录音范唱边看多媒体播放的画面，学生很快就被带进了歌曲的意境中来了，不自觉地跟录音唱起来，而且学得又快又好;后面的乐句转为小快板，力度加强，表现了孩子们在皎洁如银的月光下嬉游玩耍的场面。我放一段孩子在做游戏的画面给学生看，然后让学生四人一小组自学歌曲，找出较难唱的乐句反复练唱，学生的积极性非常高，很快就学会了整首歌曲。为了使学生能更好的理解歌曲，我让学生自找伙伴做转圆圈的游戏，让他们感受曲中欢快的情绪。</w:t>
            </w:r>
          </w:p>
          <w:p>
            <w:pPr>
              <w:rPr>
                <w:rFonts w:ascii="Times New Roman" w:hAnsi="Times New Roman" w:eastAsia="仿宋"/>
                <w:b/>
                <w:color w:val="000000"/>
                <w:kern w:val="0"/>
                <w:sz w:val="22"/>
              </w:rPr>
            </w:pPr>
            <w:r>
              <w:rPr>
                <w:rFonts w:hint="eastAsia"/>
              </w:rPr>
              <w:t>这节课通过让学生感受音乐，自学歌曲，小组做游戏的方法来教唱歌曲，学生不仅在轻松愉快中学好歌曲，又提高了学生的歌唱积极性，还培养了他们自主学习的能力。</w:t>
            </w:r>
          </w:p>
        </w:tc>
      </w:tr>
    </w:tbl>
    <w:p>
      <w:pPr>
        <w:rPr>
          <w:rFonts w:ascii="Times New Roman" w:hAnsi="Times New Roma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rPr>
        <w:lang w:val="zh-CN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8DE4CAA"/>
    <w:multiLevelType w:val="singleLevel"/>
    <w:tmpl w:val="C8DE4CA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109"/>
    <w:rsid w:val="00010CB2"/>
    <w:rsid w:val="000140E0"/>
    <w:rsid w:val="00030046"/>
    <w:rsid w:val="000513C9"/>
    <w:rsid w:val="00057E4B"/>
    <w:rsid w:val="00083C68"/>
    <w:rsid w:val="00085264"/>
    <w:rsid w:val="000A49F8"/>
    <w:rsid w:val="000C1899"/>
    <w:rsid w:val="0014140A"/>
    <w:rsid w:val="00147348"/>
    <w:rsid w:val="001A22F3"/>
    <w:rsid w:val="001B18AB"/>
    <w:rsid w:val="001C28F9"/>
    <w:rsid w:val="001D6554"/>
    <w:rsid w:val="001D6EA6"/>
    <w:rsid w:val="001F600A"/>
    <w:rsid w:val="002070A1"/>
    <w:rsid w:val="002658C6"/>
    <w:rsid w:val="00290BD3"/>
    <w:rsid w:val="002C4C83"/>
    <w:rsid w:val="002C5C1F"/>
    <w:rsid w:val="002D10EA"/>
    <w:rsid w:val="002D390C"/>
    <w:rsid w:val="002E79C7"/>
    <w:rsid w:val="002F358A"/>
    <w:rsid w:val="00300491"/>
    <w:rsid w:val="0030335C"/>
    <w:rsid w:val="00315F27"/>
    <w:rsid w:val="00317595"/>
    <w:rsid w:val="00332DD8"/>
    <w:rsid w:val="00336AAD"/>
    <w:rsid w:val="003412DF"/>
    <w:rsid w:val="00385C6A"/>
    <w:rsid w:val="0039289B"/>
    <w:rsid w:val="003B15C2"/>
    <w:rsid w:val="003E4D08"/>
    <w:rsid w:val="003F4B99"/>
    <w:rsid w:val="00410F10"/>
    <w:rsid w:val="00423B67"/>
    <w:rsid w:val="00447B86"/>
    <w:rsid w:val="00456E1F"/>
    <w:rsid w:val="0045739E"/>
    <w:rsid w:val="004A4445"/>
    <w:rsid w:val="004A6D5F"/>
    <w:rsid w:val="004B7813"/>
    <w:rsid w:val="004B7F68"/>
    <w:rsid w:val="004D0943"/>
    <w:rsid w:val="004D3D1B"/>
    <w:rsid w:val="004D63BC"/>
    <w:rsid w:val="004E1CAD"/>
    <w:rsid w:val="004E34B9"/>
    <w:rsid w:val="004F2292"/>
    <w:rsid w:val="004F3109"/>
    <w:rsid w:val="00511C4A"/>
    <w:rsid w:val="00525CA5"/>
    <w:rsid w:val="00531A4C"/>
    <w:rsid w:val="00546C05"/>
    <w:rsid w:val="005558D7"/>
    <w:rsid w:val="00555E8E"/>
    <w:rsid w:val="00574C4F"/>
    <w:rsid w:val="00585F3F"/>
    <w:rsid w:val="00597175"/>
    <w:rsid w:val="005B7450"/>
    <w:rsid w:val="005C4252"/>
    <w:rsid w:val="005D0CFC"/>
    <w:rsid w:val="005F27E7"/>
    <w:rsid w:val="005F423F"/>
    <w:rsid w:val="005F5128"/>
    <w:rsid w:val="00607472"/>
    <w:rsid w:val="00624DDE"/>
    <w:rsid w:val="006311C9"/>
    <w:rsid w:val="00660072"/>
    <w:rsid w:val="006652BC"/>
    <w:rsid w:val="006653A2"/>
    <w:rsid w:val="00674182"/>
    <w:rsid w:val="006803DA"/>
    <w:rsid w:val="00690F1A"/>
    <w:rsid w:val="006911B2"/>
    <w:rsid w:val="006A04F2"/>
    <w:rsid w:val="006A569C"/>
    <w:rsid w:val="006B195A"/>
    <w:rsid w:val="006C5943"/>
    <w:rsid w:val="006C5A69"/>
    <w:rsid w:val="006D1ADE"/>
    <w:rsid w:val="006D3526"/>
    <w:rsid w:val="006F2BC0"/>
    <w:rsid w:val="007102D7"/>
    <w:rsid w:val="00713609"/>
    <w:rsid w:val="00721696"/>
    <w:rsid w:val="007307D7"/>
    <w:rsid w:val="00740274"/>
    <w:rsid w:val="00741488"/>
    <w:rsid w:val="007472E8"/>
    <w:rsid w:val="00790818"/>
    <w:rsid w:val="007A35A8"/>
    <w:rsid w:val="007A7054"/>
    <w:rsid w:val="007D2B56"/>
    <w:rsid w:val="007D48E4"/>
    <w:rsid w:val="007D7DF5"/>
    <w:rsid w:val="007F0468"/>
    <w:rsid w:val="007F44D3"/>
    <w:rsid w:val="007F61ED"/>
    <w:rsid w:val="0080109F"/>
    <w:rsid w:val="008139C6"/>
    <w:rsid w:val="00823F40"/>
    <w:rsid w:val="0084035B"/>
    <w:rsid w:val="008937AD"/>
    <w:rsid w:val="008B1FD2"/>
    <w:rsid w:val="008B730F"/>
    <w:rsid w:val="008C3C56"/>
    <w:rsid w:val="008C6845"/>
    <w:rsid w:val="008D072F"/>
    <w:rsid w:val="008E00B0"/>
    <w:rsid w:val="008E699E"/>
    <w:rsid w:val="00911C04"/>
    <w:rsid w:val="009350F9"/>
    <w:rsid w:val="00944FA8"/>
    <w:rsid w:val="009504B7"/>
    <w:rsid w:val="009545D4"/>
    <w:rsid w:val="00967133"/>
    <w:rsid w:val="00973089"/>
    <w:rsid w:val="00973536"/>
    <w:rsid w:val="00980F95"/>
    <w:rsid w:val="009B2D38"/>
    <w:rsid w:val="00A10A32"/>
    <w:rsid w:val="00A12EFC"/>
    <w:rsid w:val="00A30CBE"/>
    <w:rsid w:val="00A60E4F"/>
    <w:rsid w:val="00A67004"/>
    <w:rsid w:val="00A7367B"/>
    <w:rsid w:val="00A77D0A"/>
    <w:rsid w:val="00A80DF4"/>
    <w:rsid w:val="00A856FB"/>
    <w:rsid w:val="00A92705"/>
    <w:rsid w:val="00AA2EC4"/>
    <w:rsid w:val="00AA46D8"/>
    <w:rsid w:val="00AB6BC9"/>
    <w:rsid w:val="00AC4BBA"/>
    <w:rsid w:val="00AE08A9"/>
    <w:rsid w:val="00AE40DD"/>
    <w:rsid w:val="00B02758"/>
    <w:rsid w:val="00B05951"/>
    <w:rsid w:val="00B11B68"/>
    <w:rsid w:val="00B2225C"/>
    <w:rsid w:val="00B24FF4"/>
    <w:rsid w:val="00B25C07"/>
    <w:rsid w:val="00B43AB9"/>
    <w:rsid w:val="00B50398"/>
    <w:rsid w:val="00B556CE"/>
    <w:rsid w:val="00B61080"/>
    <w:rsid w:val="00B76F07"/>
    <w:rsid w:val="00BB4C21"/>
    <w:rsid w:val="00BB66F9"/>
    <w:rsid w:val="00BC2B2E"/>
    <w:rsid w:val="00BD5790"/>
    <w:rsid w:val="00BD6AFC"/>
    <w:rsid w:val="00C021B7"/>
    <w:rsid w:val="00C026D3"/>
    <w:rsid w:val="00C03C77"/>
    <w:rsid w:val="00C0478C"/>
    <w:rsid w:val="00C17712"/>
    <w:rsid w:val="00C27FC6"/>
    <w:rsid w:val="00C36BE0"/>
    <w:rsid w:val="00C56E9A"/>
    <w:rsid w:val="00C636BB"/>
    <w:rsid w:val="00C729BA"/>
    <w:rsid w:val="00C764A5"/>
    <w:rsid w:val="00CC58A6"/>
    <w:rsid w:val="00CD1012"/>
    <w:rsid w:val="00CD2A50"/>
    <w:rsid w:val="00CD552A"/>
    <w:rsid w:val="00CD59E9"/>
    <w:rsid w:val="00CD632F"/>
    <w:rsid w:val="00D43C8D"/>
    <w:rsid w:val="00D52306"/>
    <w:rsid w:val="00D57E17"/>
    <w:rsid w:val="00D63DD8"/>
    <w:rsid w:val="00D776D3"/>
    <w:rsid w:val="00D81BC8"/>
    <w:rsid w:val="00D954F0"/>
    <w:rsid w:val="00DA7635"/>
    <w:rsid w:val="00DC2B13"/>
    <w:rsid w:val="00DD73C6"/>
    <w:rsid w:val="00DE5C30"/>
    <w:rsid w:val="00DF1434"/>
    <w:rsid w:val="00E4210B"/>
    <w:rsid w:val="00E5105A"/>
    <w:rsid w:val="00E60484"/>
    <w:rsid w:val="00E63A6E"/>
    <w:rsid w:val="00E6798D"/>
    <w:rsid w:val="00E8544A"/>
    <w:rsid w:val="00E854D7"/>
    <w:rsid w:val="00E94C93"/>
    <w:rsid w:val="00EB16BE"/>
    <w:rsid w:val="00EB3C26"/>
    <w:rsid w:val="00EC448E"/>
    <w:rsid w:val="00EE3D6E"/>
    <w:rsid w:val="00EE5E8F"/>
    <w:rsid w:val="00F01D94"/>
    <w:rsid w:val="00F01F66"/>
    <w:rsid w:val="00F067B0"/>
    <w:rsid w:val="00F129E8"/>
    <w:rsid w:val="00F328BD"/>
    <w:rsid w:val="00F4193C"/>
    <w:rsid w:val="00F50D05"/>
    <w:rsid w:val="00F74BC9"/>
    <w:rsid w:val="00F83023"/>
    <w:rsid w:val="00F924E5"/>
    <w:rsid w:val="00F968CC"/>
    <w:rsid w:val="00FA4631"/>
    <w:rsid w:val="00FD74BA"/>
    <w:rsid w:val="00FE5107"/>
    <w:rsid w:val="00FF427D"/>
    <w:rsid w:val="016561A2"/>
    <w:rsid w:val="05206C1D"/>
    <w:rsid w:val="075D3DD7"/>
    <w:rsid w:val="0D725C2B"/>
    <w:rsid w:val="1CEE76DA"/>
    <w:rsid w:val="25F6597B"/>
    <w:rsid w:val="2F511C0D"/>
    <w:rsid w:val="4CD12DD7"/>
    <w:rsid w:val="51EE3DCC"/>
    <w:rsid w:val="5CF542D6"/>
    <w:rsid w:val="618D033F"/>
    <w:rsid w:val="654D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qFormat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99"/>
    <w:pPr>
      <w:spacing w:before="100" w:beforeAutospacing="1" w:after="100" w:afterAutospacing="1"/>
      <w:jc w:val="left"/>
    </w:pPr>
    <w:rPr>
      <w:kern w:val="0"/>
      <w:sz w:val="24"/>
      <w:szCs w:val="24"/>
    </w:rPr>
  </w:style>
  <w:style w:type="character" w:customStyle="1" w:styleId="8">
    <w:name w:val="页脚 字符"/>
    <w:link w:val="3"/>
    <w:locked/>
    <w:uiPriority w:val="99"/>
    <w:rPr>
      <w:rFonts w:cs="Times New Roman"/>
      <w:sz w:val="18"/>
      <w:szCs w:val="18"/>
    </w:rPr>
  </w:style>
  <w:style w:type="character" w:customStyle="1" w:styleId="9">
    <w:name w:val="页眉 字符"/>
    <w:link w:val="4"/>
    <w:semiHidden/>
    <w:locked/>
    <w:uiPriority w:val="99"/>
    <w:rPr>
      <w:rFonts w:cs="Times New Roman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  <w:style w:type="character" w:customStyle="1" w:styleId="11">
    <w:name w:val="批注框文本 字符"/>
    <w:link w:val="2"/>
    <w:semiHidden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wmf"/><Relationship Id="rId7" Type="http://schemas.openxmlformats.org/officeDocument/2006/relationships/oleObject" Target="embeddings/oleObject2.bin"/><Relationship Id="rId6" Type="http://schemas.openxmlformats.org/officeDocument/2006/relationships/image" Target="media/image1.w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51</Words>
  <Characters>291</Characters>
  <Lines>2</Lines>
  <Paragraphs>1</Paragraphs>
  <TotalTime>7</TotalTime>
  <ScaleCrop>false</ScaleCrop>
  <LinksUpToDate>false</LinksUpToDate>
  <CharactersWithSpaces>341</CharactersWithSpaces>
  <Application>WPS Office_11.1.0.10069_F1E327BC-269C-435d-A152-05C5408002CA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2020-10-13T00:43:00Z</dcterms:created>
  <dc:creator>user</dc:creator>
  <cp:lastModifiedBy>Administrator</cp:lastModifiedBy>
  <cp:lastPrinted>2019-03-26T10:59:00Z</cp:lastPrinted>
  <dcterms:modified xsi:type="dcterms:W3CDTF">2020-10-26T12:27:41Z</dcterms:modified>
  <dc:title>四川省陈双名师工作室音乐课堂学习设计方案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2052-11.1.0.10069</vt:lpwstr>
  </property>
</Properties>
</file>