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52"/>
          <w:lang w:val="en-US" w:eastAsia="zh-CN"/>
        </w:rPr>
      </w:pPr>
      <w:r>
        <w:rPr>
          <w:rFonts w:hint="eastAsia"/>
          <w:b/>
          <w:bCs/>
          <w:sz w:val="52"/>
          <w:szCs w:val="52"/>
          <w:lang w:val="en-US" w:eastAsia="zh-CN"/>
        </w:rPr>
        <w:t>迈向新时代</w:t>
      </w:r>
    </w:p>
    <w:p>
      <w:pPr>
        <w:jc w:val="center"/>
        <w:rPr>
          <w:rFonts w:hint="eastAsia"/>
          <w:b/>
          <w:bCs/>
          <w:sz w:val="32"/>
          <w:szCs w:val="32"/>
          <w:lang w:val="en-US" w:eastAsia="zh-CN"/>
        </w:rPr>
      </w:pPr>
      <w:r>
        <w:rPr>
          <w:rFonts w:hint="eastAsia"/>
          <w:b/>
          <w:bCs/>
          <w:sz w:val="32"/>
          <w:szCs w:val="32"/>
          <w:lang w:val="en-US" w:eastAsia="zh-CN"/>
        </w:rPr>
        <w:t>----以贝多芬《钢琴奏鸣曲OP.13 NO.8》第一乐章呈示部为例</w:t>
      </w:r>
    </w:p>
    <w:p>
      <w:pPr>
        <w:jc w:val="right"/>
        <w:rPr>
          <w:rFonts w:hint="eastAsia"/>
          <w:b/>
          <w:bCs/>
          <w:sz w:val="28"/>
          <w:szCs w:val="28"/>
          <w:lang w:val="en-US" w:eastAsia="zh-CN"/>
        </w:rPr>
      </w:pPr>
      <w:r>
        <w:rPr>
          <w:rFonts w:hint="eastAsia"/>
          <w:b/>
          <w:bCs/>
          <w:sz w:val="28"/>
          <w:szCs w:val="28"/>
          <w:lang w:val="en-US" w:eastAsia="zh-CN"/>
        </w:rPr>
        <w:t>四川省双流艺体中学 冯梓原</w:t>
      </w:r>
    </w:p>
    <w:p>
      <w:pPr>
        <w:jc w:val="left"/>
        <w:rPr>
          <w:rFonts w:hint="eastAsia"/>
          <w:b/>
          <w:bCs/>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授课时长：40分钟（一学时）</w:t>
      </w:r>
    </w:p>
    <w:p>
      <w:pPr>
        <w:jc w:val="left"/>
        <w:rPr>
          <w:rFonts w:hint="default"/>
          <w:b/>
          <w:bCs/>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学情分析：</w:t>
      </w:r>
    </w:p>
    <w:p>
      <w:pPr>
        <w:ind w:firstLine="560" w:firstLineChars="200"/>
        <w:jc w:val="left"/>
        <w:rPr>
          <w:rFonts w:hint="eastAsia"/>
          <w:b w:val="0"/>
          <w:bCs w:val="0"/>
          <w:sz w:val="28"/>
          <w:szCs w:val="28"/>
          <w:lang w:val="en-US" w:eastAsia="zh-CN"/>
        </w:rPr>
      </w:pPr>
      <w:r>
        <w:rPr>
          <w:rFonts w:hint="eastAsia"/>
          <w:b w:val="0"/>
          <w:bCs w:val="0"/>
          <w:sz w:val="28"/>
          <w:szCs w:val="28"/>
          <w:lang w:val="en-US" w:eastAsia="zh-CN"/>
        </w:rPr>
        <w:t>该生为本校高二年级学生，自幼学习钢琴，具备一定的钢琴基础，练习“悲怆”奏鸣曲第一乐章已有一段时间，技术问题基本解决。但学生在过往的钢琴学习过程中对音乐作品的风格把握和表达能力一直较为匮乏，因此本堂课将引导学生进一步认识、理解这首作品，并期望通过本课以及后续的学习逐步完善其钢琴演奏能力。</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作品简介：</w:t>
      </w:r>
    </w:p>
    <w:p>
      <w:pPr>
        <w:ind w:firstLine="560"/>
        <w:jc w:val="left"/>
        <w:rPr>
          <w:rFonts w:hint="eastAsia"/>
          <w:b w:val="0"/>
          <w:bCs w:val="0"/>
          <w:sz w:val="28"/>
          <w:szCs w:val="28"/>
          <w:lang w:val="en-US" w:eastAsia="zh-CN"/>
        </w:rPr>
      </w:pPr>
      <w:r>
        <w:rPr>
          <w:rFonts w:hint="eastAsia"/>
          <w:b w:val="0"/>
          <w:bCs w:val="0"/>
          <w:sz w:val="28"/>
          <w:szCs w:val="28"/>
          <w:lang w:val="en-US" w:eastAsia="zh-CN"/>
        </w:rPr>
        <w:t>这部在贝多芬32首钢琴奏鸣曲中占有举足轻重地位的第八号钢琴奏鸣曲作于1799年初，耳疾正不断地侵蚀着年轻的贝多芬，“悲怆”这一标题是他亲自为本曲所写。虽然是早期作品，但作曲家身上的斗争性和英雄性已初露峥嵘，他渴望打破常规、自由表达的强烈愿望也通过这部作品得到了极大的展示。</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学习目标：</w:t>
      </w:r>
    </w:p>
    <w:p>
      <w:pPr>
        <w:ind w:firstLine="560"/>
        <w:jc w:val="left"/>
        <w:rPr>
          <w:rFonts w:hint="eastAsia"/>
          <w:b w:val="0"/>
          <w:bCs w:val="0"/>
          <w:sz w:val="28"/>
          <w:szCs w:val="28"/>
          <w:lang w:val="en-US" w:eastAsia="zh-CN"/>
        </w:rPr>
      </w:pPr>
      <w:r>
        <w:rPr>
          <w:rFonts w:hint="eastAsia"/>
          <w:b w:val="0"/>
          <w:bCs w:val="0"/>
          <w:sz w:val="28"/>
          <w:szCs w:val="28"/>
          <w:lang w:val="en-US" w:eastAsia="zh-CN"/>
        </w:rPr>
        <w:t>引导学生进一步认识和理解这部作品，并让学生能以饱满的热情演奏第一乐章呈示部。</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学习重点：</w:t>
      </w:r>
    </w:p>
    <w:p>
      <w:pPr>
        <w:ind w:firstLine="560"/>
        <w:jc w:val="left"/>
        <w:rPr>
          <w:rFonts w:hint="eastAsia"/>
          <w:b w:val="0"/>
          <w:bCs w:val="0"/>
          <w:sz w:val="28"/>
          <w:szCs w:val="28"/>
          <w:lang w:val="en-US" w:eastAsia="zh-CN"/>
        </w:rPr>
      </w:pPr>
      <w:r>
        <w:rPr>
          <w:rFonts w:hint="eastAsia"/>
          <w:b w:val="0"/>
          <w:bCs w:val="0"/>
          <w:sz w:val="28"/>
          <w:szCs w:val="28"/>
          <w:lang w:val="en-US" w:eastAsia="zh-CN"/>
        </w:rPr>
        <w:t>引子和副部主题段落的音乐表达和演奏方式。</w:t>
      </w:r>
    </w:p>
    <w:p>
      <w:pPr>
        <w:ind w:firstLine="560"/>
        <w:jc w:val="left"/>
        <w:rPr>
          <w:rFonts w:hint="eastAsia"/>
          <w:b w:val="0"/>
          <w:bCs w:val="0"/>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学习难点：</w:t>
      </w:r>
    </w:p>
    <w:p>
      <w:pPr>
        <w:numPr>
          <w:ilvl w:val="0"/>
          <w:numId w:val="1"/>
        </w:numPr>
        <w:ind w:left="560" w:leftChars="0" w:firstLine="0" w:firstLineChars="0"/>
        <w:jc w:val="left"/>
        <w:rPr>
          <w:rFonts w:hint="eastAsia"/>
          <w:b w:val="0"/>
          <w:bCs w:val="0"/>
          <w:sz w:val="28"/>
          <w:szCs w:val="28"/>
          <w:lang w:val="en-US" w:eastAsia="zh-CN"/>
        </w:rPr>
      </w:pPr>
      <w:r>
        <w:rPr>
          <w:rFonts w:hint="eastAsia"/>
          <w:b w:val="0"/>
          <w:bCs w:val="0"/>
          <w:sz w:val="28"/>
          <w:szCs w:val="28"/>
          <w:lang w:val="en-US" w:eastAsia="zh-CN"/>
        </w:rPr>
        <w:t>引子部分4、5小节两个音乐形象的冲突和对比</w:t>
      </w:r>
    </w:p>
    <w:p>
      <w:pPr>
        <w:numPr>
          <w:ilvl w:val="0"/>
          <w:numId w:val="1"/>
        </w:numPr>
        <w:ind w:left="560" w:leftChars="0" w:firstLine="0" w:firstLineChars="0"/>
        <w:jc w:val="left"/>
        <w:rPr>
          <w:rFonts w:hint="default"/>
          <w:b w:val="0"/>
          <w:bCs w:val="0"/>
          <w:sz w:val="28"/>
          <w:szCs w:val="28"/>
          <w:lang w:val="en-US" w:eastAsia="zh-CN"/>
        </w:rPr>
      </w:pPr>
      <w:r>
        <w:rPr>
          <w:rFonts w:hint="eastAsia"/>
          <w:b w:val="0"/>
          <w:bCs w:val="0"/>
          <w:sz w:val="28"/>
          <w:szCs w:val="28"/>
          <w:lang w:val="en-US" w:eastAsia="zh-CN"/>
        </w:rPr>
        <w:t>副部主题进入时的弱处理</w:t>
      </w:r>
    </w:p>
    <w:p>
      <w:pPr>
        <w:numPr>
          <w:ilvl w:val="0"/>
          <w:numId w:val="0"/>
        </w:numPr>
        <w:jc w:val="left"/>
        <w:rPr>
          <w:rFonts w:hint="default"/>
          <w:b w:val="0"/>
          <w:bCs w:val="0"/>
          <w:sz w:val="28"/>
          <w:szCs w:val="28"/>
          <w:lang w:val="en-US" w:eastAsia="zh-CN"/>
        </w:rPr>
      </w:pPr>
    </w:p>
    <w:p>
      <w:pPr>
        <w:numPr>
          <w:ilvl w:val="0"/>
          <w:numId w:val="0"/>
        </w:numPr>
        <w:jc w:val="left"/>
        <w:rPr>
          <w:rFonts w:hint="eastAsia"/>
          <w:b/>
          <w:bCs/>
          <w:sz w:val="28"/>
          <w:szCs w:val="28"/>
          <w:lang w:val="en-US" w:eastAsia="zh-CN"/>
        </w:rPr>
      </w:pPr>
      <w:r>
        <w:rPr>
          <w:rFonts w:hint="eastAsia"/>
          <w:b/>
          <w:bCs/>
          <w:sz w:val="28"/>
          <w:szCs w:val="28"/>
          <w:lang w:val="en-US" w:eastAsia="zh-CN"/>
        </w:rPr>
        <w:t xml:space="preserve">教学资源开发及利用： </w:t>
      </w:r>
      <w:r>
        <w:rPr>
          <w:rFonts w:hint="eastAsia"/>
          <w:b w:val="0"/>
          <w:bCs w:val="0"/>
          <w:sz w:val="28"/>
          <w:szCs w:val="28"/>
          <w:lang w:val="en-US" w:eastAsia="zh-CN"/>
        </w:rPr>
        <w:t>多媒体、钢琴</w:t>
      </w:r>
    </w:p>
    <w:p>
      <w:pPr>
        <w:numPr>
          <w:ilvl w:val="0"/>
          <w:numId w:val="0"/>
        </w:numPr>
        <w:jc w:val="left"/>
        <w:rPr>
          <w:rFonts w:hint="eastAsia"/>
          <w:b/>
          <w:bCs/>
          <w:sz w:val="28"/>
          <w:szCs w:val="28"/>
          <w:lang w:val="en-US" w:eastAsia="zh-CN"/>
        </w:rPr>
      </w:pPr>
    </w:p>
    <w:p>
      <w:pPr>
        <w:numPr>
          <w:ilvl w:val="0"/>
          <w:numId w:val="0"/>
        </w:numPr>
        <w:jc w:val="left"/>
        <w:rPr>
          <w:rFonts w:hint="eastAsia"/>
          <w:b/>
          <w:bCs/>
          <w:sz w:val="28"/>
          <w:szCs w:val="28"/>
          <w:lang w:val="en-US" w:eastAsia="zh-CN"/>
        </w:rPr>
      </w:pPr>
    </w:p>
    <w:p>
      <w:pPr>
        <w:numPr>
          <w:ilvl w:val="0"/>
          <w:numId w:val="0"/>
        </w:numPr>
        <w:jc w:val="left"/>
        <w:rPr>
          <w:rFonts w:hint="eastAsia"/>
          <w:b/>
          <w:bCs/>
          <w:sz w:val="28"/>
          <w:szCs w:val="28"/>
          <w:lang w:val="en-US" w:eastAsia="zh-CN"/>
        </w:rPr>
      </w:pPr>
      <w:r>
        <w:rPr>
          <w:rFonts w:hint="eastAsia"/>
          <w:b/>
          <w:bCs/>
          <w:sz w:val="28"/>
          <w:szCs w:val="28"/>
          <w:lang w:val="en-US" w:eastAsia="zh-CN"/>
        </w:rPr>
        <w:t>教学过程：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教学环节</w:t>
            </w:r>
          </w:p>
        </w:tc>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教师活动</w:t>
            </w:r>
          </w:p>
        </w:tc>
        <w:tc>
          <w:tcPr>
            <w:tcW w:w="2131"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学生活动</w:t>
            </w:r>
          </w:p>
        </w:tc>
        <w:tc>
          <w:tcPr>
            <w:tcW w:w="2131"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导   入</w:t>
            </w:r>
          </w:p>
        </w:tc>
        <w:tc>
          <w:tcPr>
            <w:tcW w:w="2130" w:type="dxa"/>
          </w:tcPr>
          <w:p>
            <w:pPr>
              <w:numPr>
                <w:ilvl w:val="0"/>
                <w:numId w:val="2"/>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教师示范弹奏悲怆奏鸣曲第二、三乐章片段</w:t>
            </w:r>
          </w:p>
          <w:p>
            <w:pPr>
              <w:numPr>
                <w:ilvl w:val="0"/>
                <w:numId w:val="2"/>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设问：通过聆听，你能判断出这两个乐段是出自何人的什么作品吗？</w:t>
            </w:r>
          </w:p>
          <w:p>
            <w:pPr>
              <w:numPr>
                <w:ilvl w:val="0"/>
                <w:numId w:val="2"/>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设问：你所认识的贝多芬和悲怆奏鸣曲</w:t>
            </w:r>
          </w:p>
          <w:p>
            <w:pPr>
              <w:numPr>
                <w:ilvl w:val="0"/>
                <w:numId w:val="2"/>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补充和完善贝多芬及“悲怆”奏鸣曲的音乐风格特点</w:t>
            </w:r>
          </w:p>
        </w:tc>
        <w:tc>
          <w:tcPr>
            <w:tcW w:w="2131" w:type="dxa"/>
          </w:tcPr>
          <w:p>
            <w:pPr>
              <w:numPr>
                <w:ilvl w:val="0"/>
                <w:numId w:val="3"/>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认真聆听范弹</w:t>
            </w:r>
          </w:p>
          <w:p>
            <w:pPr>
              <w:numPr>
                <w:ilvl w:val="0"/>
                <w:numId w:val="0"/>
              </w:numPr>
              <w:jc w:val="left"/>
              <w:rPr>
                <w:rFonts w:hint="eastAsia" w:ascii="仿宋" w:hAnsi="仿宋" w:eastAsia="仿宋" w:cs="仿宋"/>
                <w:b/>
                <w:bCs/>
                <w:sz w:val="24"/>
                <w:szCs w:val="24"/>
                <w:vertAlign w:val="baseline"/>
                <w:lang w:val="en-US" w:eastAsia="zh-CN"/>
              </w:rPr>
            </w:pPr>
          </w:p>
          <w:p>
            <w:pPr>
              <w:numPr>
                <w:ilvl w:val="0"/>
                <w:numId w:val="0"/>
              </w:numPr>
              <w:jc w:val="left"/>
              <w:rPr>
                <w:rFonts w:hint="eastAsia" w:ascii="仿宋" w:hAnsi="仿宋" w:eastAsia="仿宋" w:cs="仿宋"/>
                <w:b/>
                <w:bCs/>
                <w:sz w:val="24"/>
                <w:szCs w:val="24"/>
                <w:vertAlign w:val="baseline"/>
                <w:lang w:val="en-US" w:eastAsia="zh-CN"/>
              </w:rPr>
            </w:pPr>
          </w:p>
          <w:p>
            <w:pPr>
              <w:numPr>
                <w:ilvl w:val="0"/>
                <w:numId w:val="3"/>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尝试理解两个片段的音乐风格，思考并回答老师所提问题</w:t>
            </w:r>
          </w:p>
          <w:p>
            <w:pPr>
              <w:numPr>
                <w:ilvl w:val="0"/>
                <w:numId w:val="0"/>
              </w:numPr>
              <w:jc w:val="left"/>
              <w:rPr>
                <w:rFonts w:hint="eastAsia" w:ascii="仿宋" w:hAnsi="仿宋" w:eastAsia="仿宋" w:cs="仿宋"/>
                <w:b/>
                <w:bCs/>
                <w:sz w:val="24"/>
                <w:szCs w:val="24"/>
                <w:vertAlign w:val="baseline"/>
                <w:lang w:val="en-US" w:eastAsia="zh-CN"/>
              </w:rPr>
            </w:pPr>
          </w:p>
          <w:p>
            <w:pPr>
              <w:numPr>
                <w:ilvl w:val="0"/>
                <w:numId w:val="3"/>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根据课前功课和自身理解回答问题</w:t>
            </w:r>
          </w:p>
          <w:p>
            <w:pPr>
              <w:numPr>
                <w:ilvl w:val="0"/>
                <w:numId w:val="3"/>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仔细听讲并作好笔记，加深对作曲家和作品的认识。</w:t>
            </w:r>
          </w:p>
        </w:tc>
        <w:tc>
          <w:tcPr>
            <w:tcW w:w="2131" w:type="dxa"/>
            <w:vAlign w:val="center"/>
          </w:tcPr>
          <w:p>
            <w:pPr>
              <w:numPr>
                <w:ilvl w:val="0"/>
                <w:numId w:val="0"/>
              </w:numPr>
              <w:ind w:firstLine="482" w:firstLineChars="20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通过二、三乐章的片段示范，结合学生自身所学的第一乐章，帮助学生建立对作曲家以及整部作品的进一步了解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新课教学</w:t>
            </w:r>
          </w:p>
        </w:tc>
        <w:tc>
          <w:tcPr>
            <w:tcW w:w="2130" w:type="dxa"/>
          </w:tcPr>
          <w:p>
            <w:pPr>
              <w:numPr>
                <w:ilvl w:val="0"/>
                <w:numId w:val="4"/>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要求学生完整弹奏第一乐章呈示部</w:t>
            </w:r>
          </w:p>
          <w:p>
            <w:pPr>
              <w:numPr>
                <w:ilvl w:val="0"/>
                <w:numId w:val="4"/>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根据呈示部结构，完成乐段划分：引子--呈示部（主部--连接部--副部--连接部--结束部）</w:t>
            </w:r>
          </w:p>
          <w:p>
            <w:pPr>
              <w:numPr>
                <w:ilvl w:val="0"/>
                <w:numId w:val="4"/>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引子部分音乐风格详解，重点：庄板、情绪层次的递进、不同音乐形象的对比和冲突</w:t>
            </w:r>
          </w:p>
          <w:p>
            <w:pPr>
              <w:numPr>
                <w:ilvl w:val="0"/>
                <w:numId w:val="4"/>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主部主题的动机与发展详解，关键词：火箭主题，震音的推进</w:t>
            </w:r>
          </w:p>
          <w:p>
            <w:pPr>
              <w:numPr>
                <w:ilvl w:val="0"/>
                <w:numId w:val="4"/>
              </w:numPr>
              <w:jc w:val="lef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副部主题演奏详解，重难点突破：弱进入的力度控制，双手交叉时的气口把握</w:t>
            </w:r>
          </w:p>
          <w:p>
            <w:pPr>
              <w:numPr>
                <w:numId w:val="0"/>
              </w:numPr>
              <w:jc w:val="left"/>
              <w:rPr>
                <w:rFonts w:hint="eastAsia" w:ascii="仿宋" w:hAnsi="仿宋" w:eastAsia="仿宋" w:cs="仿宋"/>
                <w:b/>
                <w:bCs/>
                <w:sz w:val="24"/>
                <w:szCs w:val="24"/>
                <w:vertAlign w:val="baseline"/>
                <w:lang w:val="en-US" w:eastAsia="zh-CN"/>
              </w:rPr>
            </w:pPr>
          </w:p>
        </w:tc>
        <w:tc>
          <w:tcPr>
            <w:tcW w:w="2131" w:type="dxa"/>
            <w:vAlign w:val="center"/>
          </w:tcPr>
          <w:p>
            <w:pPr>
              <w:numPr>
                <w:ilvl w:val="0"/>
                <w:numId w:val="5"/>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完整弹奏第一乐章呈示部</w:t>
            </w:r>
          </w:p>
          <w:p>
            <w:pPr>
              <w:numPr>
                <w:ilvl w:val="0"/>
                <w:numId w:val="5"/>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认真跟随老师的思路，通过在钢琴上的反复实践与聆听，在把握作品整体风格特点的同时，做好细节表达上的处理，将呈示部的每个乐段的音乐情绪用正确的方式尽可能地呈现出来</w:t>
            </w:r>
          </w:p>
          <w:p>
            <w:pPr>
              <w:numPr>
                <w:ilvl w:val="0"/>
                <w:numId w:val="5"/>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再次完整演奏第一乐章呈示部（引子+主部+副部）</w:t>
            </w:r>
            <w:bookmarkStart w:id="0" w:name="_GoBack"/>
            <w:bookmarkEnd w:id="0"/>
          </w:p>
        </w:tc>
        <w:tc>
          <w:tcPr>
            <w:tcW w:w="2131" w:type="dxa"/>
            <w:vAlign w:val="center"/>
          </w:tcPr>
          <w:p>
            <w:pPr>
              <w:numPr>
                <w:ilvl w:val="0"/>
                <w:numId w:val="0"/>
              </w:num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在了解学生目前对作品的掌握情况后，经过曲式解构后，逐段分析音乐动机、音乐材料、音乐形象、音乐情感、细节表达等多方面要素，努力帮助学生建立对作品更加深刻的认知，引导学生走进音乐，投入情感，进而完成演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E7E6E6" w:themeFill="background2"/>
            <w:vAlign w:val="center"/>
          </w:tcPr>
          <w:p>
            <w:pPr>
              <w:numPr>
                <w:ilvl w:val="0"/>
                <w:numId w:val="0"/>
              </w:numPr>
              <w:jc w:val="center"/>
              <w:rPr>
                <w:rFonts w:hint="default"/>
                <w:b/>
                <w:bCs/>
                <w:sz w:val="28"/>
                <w:szCs w:val="28"/>
                <w:vertAlign w:val="baseline"/>
                <w:lang w:val="en-US" w:eastAsia="zh-CN"/>
              </w:rPr>
            </w:pPr>
            <w:r>
              <w:rPr>
                <w:rFonts w:hint="eastAsia"/>
                <w:b/>
                <w:bCs/>
                <w:sz w:val="28"/>
                <w:szCs w:val="28"/>
                <w:vertAlign w:val="baseline"/>
                <w:lang w:val="en-US" w:eastAsia="zh-CN"/>
              </w:rPr>
              <w:t>课堂小结</w:t>
            </w:r>
          </w:p>
        </w:tc>
        <w:tc>
          <w:tcPr>
            <w:tcW w:w="2130" w:type="dxa"/>
            <w:vAlign w:val="top"/>
          </w:tcPr>
          <w:p>
            <w:pPr>
              <w:numPr>
                <w:ilvl w:val="0"/>
                <w:numId w:val="0"/>
              </w:numPr>
              <w:jc w:val="both"/>
              <w:rPr>
                <w:rFonts w:hint="eastAsia" w:ascii="仿宋" w:hAnsi="仿宋" w:eastAsia="仿宋" w:cs="仿宋"/>
                <w:b/>
                <w:bCs/>
                <w:sz w:val="24"/>
                <w:szCs w:val="24"/>
                <w:vertAlign w:val="baseline"/>
                <w:lang w:val="en-US" w:eastAsia="zh-CN"/>
              </w:rPr>
            </w:pPr>
            <w:r>
              <w:rPr>
                <w:rFonts w:hint="eastAsia"/>
                <w:b/>
                <w:bCs/>
                <w:sz w:val="28"/>
                <w:szCs w:val="28"/>
                <w:vertAlign w:val="baseline"/>
                <w:lang w:val="en-US" w:eastAsia="zh-CN"/>
              </w:rPr>
              <w:t xml:space="preserve"> </w:t>
            </w:r>
            <w:r>
              <w:rPr>
                <w:rFonts w:hint="eastAsia" w:ascii="仿宋" w:hAnsi="仿宋" w:eastAsia="仿宋" w:cs="仿宋"/>
                <w:b/>
                <w:bCs/>
                <w:sz w:val="24"/>
                <w:szCs w:val="24"/>
                <w:vertAlign w:val="baseline"/>
                <w:lang w:val="en-US" w:eastAsia="zh-CN"/>
              </w:rPr>
              <w:t xml:space="preserve">   </w:t>
            </w:r>
          </w:p>
          <w:p>
            <w:pPr>
              <w:numPr>
                <w:ilvl w:val="0"/>
                <w:numId w:val="0"/>
              </w:numPr>
              <w:ind w:firstLine="482" w:firstLineChars="200"/>
              <w:jc w:val="both"/>
              <w:rPr>
                <w:rFonts w:hint="default"/>
                <w:b/>
                <w:bCs/>
                <w:sz w:val="28"/>
                <w:szCs w:val="28"/>
                <w:vertAlign w:val="baseline"/>
                <w:lang w:val="en-US" w:eastAsia="zh-CN"/>
              </w:rPr>
            </w:pPr>
            <w:r>
              <w:rPr>
                <w:rFonts w:hint="eastAsia" w:ascii="仿宋" w:hAnsi="仿宋" w:eastAsia="仿宋" w:cs="仿宋"/>
                <w:b/>
                <w:bCs/>
                <w:sz w:val="24"/>
                <w:szCs w:val="24"/>
                <w:vertAlign w:val="baseline"/>
                <w:lang w:val="en-US" w:eastAsia="zh-CN"/>
              </w:rPr>
              <w:t>根据学生本堂课完成情况布置课后练习任务。</w:t>
            </w:r>
          </w:p>
        </w:tc>
        <w:tc>
          <w:tcPr>
            <w:tcW w:w="2131" w:type="dxa"/>
          </w:tcPr>
          <w:p>
            <w:pPr>
              <w:numPr>
                <w:ilvl w:val="0"/>
                <w:numId w:val="0"/>
              </w:numPr>
              <w:jc w:val="left"/>
              <w:rPr>
                <w:rFonts w:hint="default"/>
                <w:b/>
                <w:bCs/>
                <w:sz w:val="28"/>
                <w:szCs w:val="28"/>
                <w:vertAlign w:val="baseline"/>
                <w:lang w:val="en-US" w:eastAsia="zh-CN"/>
              </w:rPr>
            </w:pPr>
          </w:p>
        </w:tc>
        <w:tc>
          <w:tcPr>
            <w:tcW w:w="2131" w:type="dxa"/>
            <w:vAlign w:val="top"/>
          </w:tcPr>
          <w:p>
            <w:pPr>
              <w:numPr>
                <w:ilvl w:val="0"/>
                <w:numId w:val="0"/>
              </w:numPr>
              <w:jc w:val="both"/>
              <w:rPr>
                <w:rFonts w:hint="default"/>
                <w:b/>
                <w:bCs/>
                <w:sz w:val="28"/>
                <w:szCs w:val="28"/>
                <w:vertAlign w:val="baseline"/>
                <w:lang w:val="en-US" w:eastAsia="zh-CN"/>
              </w:rPr>
            </w:pPr>
            <w:r>
              <w:rPr>
                <w:rFonts w:hint="eastAsia"/>
                <w:b/>
                <w:bCs/>
                <w:sz w:val="28"/>
                <w:szCs w:val="28"/>
                <w:vertAlign w:val="baseline"/>
                <w:lang w:val="en-US" w:eastAsia="zh-CN"/>
              </w:rPr>
              <w:t xml:space="preserve">  </w:t>
            </w:r>
            <w:r>
              <w:rPr>
                <w:rFonts w:hint="eastAsia" w:ascii="仿宋" w:hAnsi="仿宋" w:eastAsia="仿宋" w:cs="仿宋"/>
                <w:b/>
                <w:bCs/>
                <w:sz w:val="24"/>
                <w:szCs w:val="24"/>
                <w:vertAlign w:val="baseline"/>
                <w:lang w:val="en-US" w:eastAsia="zh-CN"/>
              </w:rPr>
              <w:t xml:space="preserve"> 除了课堂上的学习和练习，课后的练习和巩固才能真正扎实有效的掌握所学。</w:t>
            </w:r>
          </w:p>
        </w:tc>
      </w:tr>
    </w:tbl>
    <w:p>
      <w:pPr>
        <w:numPr>
          <w:ilvl w:val="0"/>
          <w:numId w:val="0"/>
        </w:numPr>
        <w:jc w:val="left"/>
        <w:rPr>
          <w:rFonts w:hint="default"/>
          <w:b/>
          <w:bCs/>
          <w:sz w:val="28"/>
          <w:szCs w:val="28"/>
          <w:lang w:val="en-US" w:eastAsia="zh-CN"/>
        </w:rPr>
      </w:pPr>
    </w:p>
    <w:p>
      <w:pPr>
        <w:jc w:val="left"/>
        <w:rPr>
          <w:rFonts w:hint="default"/>
          <w:b w:val="0"/>
          <w:bCs w:val="0"/>
          <w:sz w:val="28"/>
          <w:szCs w:val="28"/>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B4E424"/>
    <w:multiLevelType w:val="singleLevel"/>
    <w:tmpl w:val="C1B4E424"/>
    <w:lvl w:ilvl="0" w:tentative="0">
      <w:start w:val="1"/>
      <w:numFmt w:val="decimal"/>
      <w:suff w:val="nothing"/>
      <w:lvlText w:val="%1、"/>
      <w:lvlJc w:val="left"/>
      <w:pPr>
        <w:ind w:left="560" w:leftChars="0" w:firstLine="0" w:firstLineChars="0"/>
      </w:pPr>
    </w:lvl>
  </w:abstractNum>
  <w:abstractNum w:abstractNumId="1">
    <w:nsid w:val="0414F794"/>
    <w:multiLevelType w:val="singleLevel"/>
    <w:tmpl w:val="0414F794"/>
    <w:lvl w:ilvl="0" w:tentative="0">
      <w:start w:val="1"/>
      <w:numFmt w:val="decimal"/>
      <w:lvlText w:val="%1."/>
      <w:lvlJc w:val="left"/>
      <w:pPr>
        <w:tabs>
          <w:tab w:val="left" w:pos="312"/>
        </w:tabs>
      </w:pPr>
    </w:lvl>
  </w:abstractNum>
  <w:abstractNum w:abstractNumId="2">
    <w:nsid w:val="1A3CDAE0"/>
    <w:multiLevelType w:val="singleLevel"/>
    <w:tmpl w:val="1A3CDAE0"/>
    <w:lvl w:ilvl="0" w:tentative="0">
      <w:start w:val="1"/>
      <w:numFmt w:val="decimal"/>
      <w:lvlText w:val="%1."/>
      <w:lvlJc w:val="left"/>
      <w:pPr>
        <w:tabs>
          <w:tab w:val="left" w:pos="312"/>
        </w:tabs>
      </w:pPr>
    </w:lvl>
  </w:abstractNum>
  <w:abstractNum w:abstractNumId="3">
    <w:nsid w:val="204F574E"/>
    <w:multiLevelType w:val="singleLevel"/>
    <w:tmpl w:val="204F574E"/>
    <w:lvl w:ilvl="0" w:tentative="0">
      <w:start w:val="1"/>
      <w:numFmt w:val="decimal"/>
      <w:lvlText w:val="%1."/>
      <w:lvlJc w:val="left"/>
      <w:pPr>
        <w:tabs>
          <w:tab w:val="left" w:pos="312"/>
        </w:tabs>
      </w:pPr>
    </w:lvl>
  </w:abstractNum>
  <w:abstractNum w:abstractNumId="4">
    <w:nsid w:val="4A42381A"/>
    <w:multiLevelType w:val="singleLevel"/>
    <w:tmpl w:val="4A42381A"/>
    <w:lvl w:ilvl="0" w:tentative="0">
      <w:start w:val="1"/>
      <w:numFmt w:val="decimal"/>
      <w:lvlText w:val="%1."/>
      <w:lvlJc w:val="left"/>
      <w:pPr>
        <w:tabs>
          <w:tab w:val="left" w:pos="312"/>
        </w:tabs>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5076ED"/>
    <w:rsid w:val="0C5076ED"/>
    <w:rsid w:val="162B7DBA"/>
    <w:rsid w:val="5EF32ECA"/>
    <w:rsid w:val="62996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282</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2020-10-12T10:24:00Z</dcterms:created>
  <dc:creator>大赋格曲</dc:creator>
  <cp:lastModifiedBy>大赋格曲</cp:lastModifiedBy>
  <dcterms:modified xsi:type="dcterms:W3CDTF">2020-10-13T16:48:07Z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