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 w:ascii="黑体" w:hAnsi="黑体" w:eastAsia="黑体" w:cs="黑体"/>
          <w:b/>
          <w:bCs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舒曼《幻想曲0p.12No.2——冲动》</w:t>
      </w:r>
    </w:p>
    <w:p>
      <w:pPr>
        <w:bidi w:val="0"/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四川省双流艺体中学——李雯</w:t>
      </w:r>
    </w:p>
    <w:p>
      <w:pPr>
        <w:bidi w:val="0"/>
        <w:jc w:val="center"/>
        <w:rPr>
          <w:rFonts w:hint="default"/>
          <w:sz w:val="28"/>
          <w:szCs w:val="36"/>
          <w:lang w:val="en-US" w:eastAsia="zh-CN"/>
        </w:rPr>
      </w:pPr>
    </w:p>
    <w:p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作品分析：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罗伯特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·舒曼，德国卓越的浪漫派作曲家、音乐评论家。他的创作范围非常广泛，有钢琴、交响乐、大提琴、小提琴协奏曲与声乐作品等，他的主要钢琴作品有《狂欢节》、《儿童情景》、《幻曲小品集》等。《幻想小品集》（Op.12）创作于1837年夏天，这是他在维也纳逗留时所创作的乐曲，这是一部由八首风格各异、对比鲜明、情绪不同的小曲组成的套曲，乐曲的篇幅虽然不是很大，但因为它们文字标题具体，音乐形象鲜明，虽然在音乐内容上并没有连贯的故事情节，却有着鲜明的浪漫主义色彩与幻想性。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《冲动》是《幻想曲集》的第二首，f小调，6/8拍，奏鸣回旋曲式结构。乐曲以“汹涌澎湃、热情奔放”性格的主题出现，中间插部主要是通过调性展开，模进等手法使音乐情绪层层推向高潮，加上快速跑动的旋律表现出激动的心情，经过中间插部的调性展开及高潮部分，最后进入再现部，音乐具有热情冲动的特点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学情分析：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该学生为高三音乐专业学生，有一定的演奏能力，在前期的学习过程中，对本首乐曲的熟练程度已基本达到。但该生在作品的强弱力度表现上还比较欠缺，因此不能很好的表达出作品的艺术性，还需要加强处理作品提高作品的艺术性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spacing w:line="360" w:lineRule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教学内容：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作品A段基本主题（1-16小节）的力度处理。（详见谱例1）</w:t>
      </w:r>
    </w:p>
    <w:p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教学目标：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提高该生高考乐曲《冲动》A段基本主题（1-16小节）的强弱力度表现演奏能力。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教学重点：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主旋律声部旋律线条的弹奏。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教学难点：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乐句的强弱力度处理，自然的表现音符力度记号。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教学课时：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30分钟</w:t>
      </w:r>
    </w:p>
    <w:p>
      <w:pPr>
        <w:spacing w:line="360" w:lineRule="auto"/>
        <w:rPr>
          <w:rFonts w:hint="eastAsia" w:asciiTheme="minorAscii"/>
          <w:sz w:val="24"/>
          <w:szCs w:val="24"/>
          <w:lang w:eastAsia="zh-CN"/>
        </w:rPr>
      </w:pPr>
      <w:r>
        <w:rPr>
          <w:rFonts w:hint="eastAsia" w:asciiTheme="minorAscii"/>
          <w:b/>
          <w:bCs/>
          <w:sz w:val="24"/>
          <w:szCs w:val="24"/>
          <w:lang w:eastAsia="zh-CN"/>
        </w:rPr>
        <w:t>教学方法：</w:t>
      </w:r>
      <w:r>
        <w:rPr>
          <w:rFonts w:hint="eastAsia" w:asciiTheme="minorAscii"/>
          <w:sz w:val="24"/>
          <w:szCs w:val="24"/>
          <w:lang w:eastAsia="zh-CN"/>
        </w:rPr>
        <w:t>示范引领、审美感知、体验实践</w:t>
      </w:r>
    </w:p>
    <w:p>
      <w:pPr>
        <w:spacing w:line="360" w:lineRule="auto"/>
        <w:rPr>
          <w:rFonts w:hint="eastAsia" w:asciiTheme="minorAscii"/>
          <w:sz w:val="24"/>
          <w:szCs w:val="24"/>
          <w:lang w:eastAsia="zh-CN"/>
        </w:rPr>
      </w:pPr>
      <w:r>
        <w:rPr>
          <w:rFonts w:hint="eastAsia" w:asciiTheme="minorAscii"/>
          <w:b/>
          <w:bCs/>
          <w:sz w:val="24"/>
          <w:szCs w:val="24"/>
        </w:rPr>
        <w:t>课型：</w:t>
      </w:r>
      <w:r>
        <w:rPr>
          <w:rFonts w:hint="eastAsia" w:asciiTheme="minorAscii"/>
          <w:sz w:val="24"/>
          <w:szCs w:val="24"/>
          <w:lang w:eastAsia="zh-CN"/>
        </w:rPr>
        <w:t>个别课</w:t>
      </w:r>
    </w:p>
    <w:p>
      <w:pPr>
        <w:spacing w:line="360" w:lineRule="auto"/>
        <w:rPr>
          <w:rFonts w:hint="eastAsia" w:asciiTheme="minorAscii"/>
          <w:sz w:val="24"/>
          <w:szCs w:val="24"/>
        </w:rPr>
      </w:pPr>
      <w:r>
        <w:rPr>
          <w:rFonts w:hint="eastAsia" w:asciiTheme="minorAscii"/>
          <w:b/>
          <w:bCs/>
          <w:sz w:val="24"/>
          <w:szCs w:val="24"/>
        </w:rPr>
        <w:t>教具准备：</w:t>
      </w:r>
      <w:r>
        <w:rPr>
          <w:rFonts w:hint="eastAsia" w:asciiTheme="minorAscii"/>
          <w:b w:val="0"/>
          <w:bCs w:val="0"/>
          <w:sz w:val="24"/>
          <w:szCs w:val="24"/>
          <w:lang w:eastAsia="zh-CN"/>
        </w:rPr>
        <w:t>钢琴、节拍器、</w:t>
      </w:r>
      <w:r>
        <w:rPr>
          <w:rFonts w:hint="eastAsia" w:asciiTheme="minorAscii"/>
          <w:sz w:val="24"/>
          <w:szCs w:val="24"/>
        </w:rPr>
        <w:t>多媒体</w:t>
      </w:r>
    </w:p>
    <w:p>
      <w:pPr>
        <w:spacing w:line="360" w:lineRule="auto"/>
        <w:rPr>
          <w:rFonts w:hint="eastAsia" w:asciiTheme="minorAscii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Theme="minorAscii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Theme="minorAscii"/>
          <w:b/>
          <w:bCs/>
          <w:sz w:val="24"/>
          <w:szCs w:val="24"/>
          <w:lang w:eastAsia="zh-CN"/>
        </w:rPr>
      </w:pPr>
      <w:r>
        <w:rPr>
          <w:rFonts w:hint="eastAsia" w:asciiTheme="minorAscii"/>
          <w:b/>
          <w:bCs/>
          <w:sz w:val="24"/>
          <w:szCs w:val="24"/>
        </w:rPr>
        <w:t>教学过程</w:t>
      </w:r>
      <w:r>
        <w:rPr>
          <w:rFonts w:hint="eastAsia" w:asciiTheme="minorAscii"/>
          <w:b/>
          <w:bCs/>
          <w:sz w:val="24"/>
          <w:szCs w:val="24"/>
          <w:lang w:eastAsia="zh-CN"/>
        </w:rPr>
        <w:t>：</w:t>
      </w:r>
    </w:p>
    <w:p>
      <w:pPr>
        <w:spacing w:line="360" w:lineRule="auto"/>
        <w:rPr>
          <w:rFonts w:hint="eastAsia" w:asciiTheme="minorAscii"/>
          <w:b/>
          <w:bCs/>
          <w:sz w:val="24"/>
          <w:szCs w:val="24"/>
          <w:lang w:eastAsia="zh-CN"/>
        </w:rPr>
      </w:pPr>
    </w:p>
    <w:tbl>
      <w:tblPr>
        <w:tblStyle w:val="5"/>
        <w:tblpPr w:leftFromText="180" w:rightFromText="180" w:vertAnchor="text" w:horzAnchor="page" w:tblpX="1673" w:tblpY="132"/>
        <w:tblOverlap w:val="never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4320"/>
        <w:gridCol w:w="1860"/>
        <w:gridCol w:w="1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127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教学</w:t>
            </w:r>
            <w:r>
              <w:rPr>
                <w:rFonts w:hint="eastAsia" w:ascii="宋体" w:hAnsi="宋体" w:eastAsia="宋体" w:cs="宋体"/>
                <w:b/>
                <w:color w:val="000000"/>
                <w:szCs w:val="21"/>
                <w:lang w:eastAsia="zh-CN"/>
              </w:rPr>
              <w:t>环节</w:t>
            </w:r>
          </w:p>
        </w:tc>
        <w:tc>
          <w:tcPr>
            <w:tcW w:w="4320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教师活动</w:t>
            </w:r>
          </w:p>
        </w:tc>
        <w:tc>
          <w:tcPr>
            <w:tcW w:w="1860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学生活动</w:t>
            </w:r>
          </w:p>
        </w:tc>
        <w:tc>
          <w:tcPr>
            <w:tcW w:w="1293" w:type="dxa"/>
            <w:shd w:val="clear" w:color="auto" w:fill="F3F3F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9" w:hRule="atLeast"/>
        </w:trPr>
        <w:tc>
          <w:tcPr>
            <w:tcW w:w="1127" w:type="dxa"/>
            <w:noWrap w:val="0"/>
            <w:vAlign w:val="center"/>
          </w:tcPr>
          <w:p>
            <w:pPr>
              <w:ind w:left="210" w:hanging="210" w:hangingChars="100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eastAsia="宋体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eastAsia="宋体"/>
                <w:b/>
                <w:bCs/>
                <w:color w:val="000000"/>
                <w:sz w:val="30"/>
                <w:szCs w:val="30"/>
                <w:lang w:val="en-US" w:eastAsia="zh-CN"/>
              </w:rPr>
              <w:t xml:space="preserve">导  </w:t>
            </w:r>
            <w:r>
              <w:rPr>
                <w:rFonts w:hint="eastAsia" w:eastAsia="宋体"/>
                <w:b/>
                <w:bCs/>
                <w:color w:val="000000"/>
                <w:sz w:val="30"/>
                <w:szCs w:val="30"/>
                <w:lang w:eastAsia="zh-CN"/>
              </w:rPr>
              <w:t>入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1.播放视频。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2.设问学生谈谈对自己所弹作品的认识。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3.补充作曲家舒曼的简介及他的音乐风格特点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观看视频</w:t>
            </w:r>
          </w:p>
          <w:p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思考老师所提的问题</w:t>
            </w:r>
          </w:p>
          <w:p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根据自己课前预习准备的知识和理解回答问题</w:t>
            </w:r>
          </w:p>
          <w:p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4.认真听讲并做笔记</w:t>
            </w:r>
          </w:p>
          <w:p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pStyle w:val="4"/>
              <w:shd w:val="clear" w:color="auto" w:fill="FFFFFF"/>
              <w:rPr>
                <w:rFonts w:hint="eastAsia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通过对比探究导入，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激发了学生学习的兴趣和主动探究的积极性，提高教学效率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，帮助学生建立对作品的进一步了解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1" w:hRule="atLeast"/>
        </w:trPr>
        <w:tc>
          <w:tcPr>
            <w:tcW w:w="1127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color w:val="000000"/>
                <w:sz w:val="32"/>
                <w:szCs w:val="32"/>
                <w:lang w:eastAsia="zh-CN"/>
              </w:rPr>
              <w:t>新课教学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4"/>
              <w:numPr>
                <w:ilvl w:val="0"/>
                <w:numId w:val="2"/>
              </w:numP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要求学生弹奏A段中ab部分；</w:t>
            </w:r>
          </w:p>
          <w:p>
            <w:pPr>
              <w:pStyle w:val="4"/>
              <w:numPr>
                <w:ilvl w:val="0"/>
                <w:numId w:val="2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曲子结构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Hans"/>
              </w:rPr>
              <w:t>介绍及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划分：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2827020" cy="788670"/>
                  <wp:effectExtent l="0" t="0" r="11430" b="11430"/>
                  <wp:docPr id="4" name="图片 4" descr="cec39bb431c610a507ec354d47e82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ec39bb431c610a507ec354d47e82c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3.整体知识点方面：音符、节奏、装饰音等基本音乐要素的弹奏讲解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4.局部知识点方面：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①八度音程的弹奏技巧讲解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②和弦的弹奏讲解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5.力度的对比讲解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6.音乐风格特点概括，重点：旋律的起伏、旋律的层次、旋律的装饰，难点突破：手指的触键、句子的呼吸强弱的表达</w:t>
            </w:r>
          </w:p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7.对学生的弹奏做一个整体的评价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1.完整弹奏作品A段中的ab部分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2.认真聆听老师的讲解，跟随老师的思路，通过观看视频以及在钢琴上的反复实践与聆听，能够正确弹奏八度音程及左手和弦。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3.把握旋律风格特点的同时，做好旋律的细节处理，做好力度对比，将音乐情绪用正确的方式尽可能地呈现出来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在了解学生目前对曲目的了解情况下，经过曲式结构分析，逐步分析音乐材料、音乐旋律、音乐形象、音乐情感、细节表达等多方面要素，帮助学生对作品更加深刻的认识，引导学生走进音乐，投入情感，逐步完成演奏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,提升演奏技巧。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4" w:hRule="atLeast"/>
        </w:trPr>
        <w:tc>
          <w:tcPr>
            <w:tcW w:w="1127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b/>
                <w:bCs/>
                <w:color w:val="000000"/>
                <w:sz w:val="32"/>
                <w:szCs w:val="32"/>
                <w:lang w:eastAsia="zh-CN"/>
              </w:rPr>
              <w:t>课堂小结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pStyle w:val="4"/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根据学生本堂课完成情况布置相应的课后作业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记录作业认真练习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钢琴三分讲七分练，除了课堂上的学习更多的需要是课后的认真练习，才能有效的掌握所学知识。</w:t>
            </w:r>
          </w:p>
        </w:tc>
      </w:tr>
    </w:tbl>
    <w:p>
      <w:pPr>
        <w:spacing w:line="360" w:lineRule="auto"/>
        <w:rPr>
          <w:rFonts w:hint="eastAsia" w:asciiTheme="minorAscii"/>
          <w:b/>
          <w:bCs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谱例1：A段主题1-16小节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6116955" cy="3299460"/>
            <wp:effectExtent l="0" t="0" r="17145" b="15240"/>
            <wp:docPr id="3" name="图片 3" descr="3539ff65675e49b30b1478b17e35f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39ff65675e49b30b1478b17e35fa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谱例2：全曲乐谱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983605" cy="8307705"/>
            <wp:effectExtent l="0" t="0" r="17145" b="17145"/>
            <wp:docPr id="1" name="图片 1" descr="77b50ace4618211ff03f5cba4efde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7b50ace4618211ff03f5cba4efde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3605" cy="830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default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989955" cy="8561070"/>
            <wp:effectExtent l="0" t="0" r="10795" b="11430"/>
            <wp:docPr id="5" name="图片 5" descr="1ee7e087fa3ed7702e2cc02b4262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ee7e087fa3ed7702e2cc02b42621f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56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default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6071870" cy="9011285"/>
            <wp:effectExtent l="0" t="0" r="5080" b="18415"/>
            <wp:docPr id="6" name="图片 6" descr="03ae7ecc6bbce27c3122dc30fd22b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3ae7ecc6bbce27c3122dc30fd22b2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1870" cy="901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default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6243320" cy="8778240"/>
            <wp:effectExtent l="0" t="0" r="5080" b="3810"/>
            <wp:docPr id="7" name="图片 7" descr="bf505a9c01908e83529871713c78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f505a9c01908e83529871713c783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singleLevel"/>
    <w:tmpl w:val="00000005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00000007"/>
    <w:multiLevelType w:val="singleLevel"/>
    <w:tmpl w:val="000000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05CF3"/>
    <w:rsid w:val="07D361D5"/>
    <w:rsid w:val="126807AF"/>
    <w:rsid w:val="16AA7D83"/>
    <w:rsid w:val="17205CF3"/>
    <w:rsid w:val="17F107BF"/>
    <w:rsid w:val="1A277D03"/>
    <w:rsid w:val="1FA6523B"/>
    <w:rsid w:val="205C2B9B"/>
    <w:rsid w:val="33DC0E4D"/>
    <w:rsid w:val="35002BBA"/>
    <w:rsid w:val="398E00C6"/>
    <w:rsid w:val="3F1358F7"/>
    <w:rsid w:val="406E5F05"/>
    <w:rsid w:val="43625512"/>
    <w:rsid w:val="46F41B12"/>
    <w:rsid w:val="4BEC2CFB"/>
    <w:rsid w:val="5152258B"/>
    <w:rsid w:val="58EB0F36"/>
    <w:rsid w:val="594E7C78"/>
    <w:rsid w:val="5ED37292"/>
    <w:rsid w:val="62586D14"/>
    <w:rsid w:val="64190B78"/>
    <w:rsid w:val="6AD44A2E"/>
    <w:rsid w:val="6AE16BF7"/>
    <w:rsid w:val="718D1FFD"/>
    <w:rsid w:val="739D654E"/>
    <w:rsid w:val="77DB2D32"/>
    <w:rsid w:val="794D1AAF"/>
    <w:rsid w:val="796B2506"/>
    <w:rsid w:val="797B4283"/>
    <w:rsid w:val="79B63EFD"/>
    <w:rsid w:val="7E28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2021-10-19T03:04:00Z</dcterms:created>
  <dc:creator>power</dc:creator>
  <cp:lastModifiedBy>liwenwen</cp:lastModifiedBy>
  <dcterms:modified xsi:type="dcterms:W3CDTF">2021-12-05T13:54:21Z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C6439869E96E47AAB45D82B97C91F136</vt:lpwstr>
  </property>
</Properties>
</file>