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6096000"/>
            <wp:effectExtent l="0" t="0" r="3810" b="0"/>
            <wp:docPr id="1" name="图片 1" descr="市级1：基于“深度学习”理念下的地理实践力素养培养的教学策略——杨宛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市级1：基于“深度学习”理念下的地理实践力素养培养的教学策略——杨宛芸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6287770"/>
            <wp:effectExtent l="0" t="0" r="12065" b="17780"/>
            <wp:docPr id="2" name="图片 2" descr="市级2：地理空间思维与美术素描的融合——杨宛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市级2：地理空间思维与美术素描的融合——杨宛芸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628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A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2022-03-13T01:46:31Z</dcterms:created>
  <dc:creator>ChangeShao</dc:creator>
  <cp:lastModifiedBy>wanwan</cp:lastModifiedBy>
  <dcterms:modified xsi:type="dcterms:W3CDTF">2022-03-13T01:46:57Z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0C909BC1C05F4D7C90D0A85970DBA987</vt:lpwstr>
  </property>
</Properties>
</file>