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spacing w:line="480" w:lineRule="auto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双流区研培中心关于初中集体下校视导和承办教研活动</w:t>
      </w:r>
    </w:p>
    <w:p>
      <w:pPr>
        <w:spacing w:line="480" w:lineRule="auto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需求申报的通知</w:t>
      </w:r>
    </w:p>
    <w:p>
      <w:pPr>
        <w:spacing w:line="480" w:lineRule="auto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各初中学校（含高完中初中部）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流区研培中心初中室持续开展的下校集体视导工作，是研培中心秉承关注实践、聚焦问题、服务一线、研究课堂的教研指导思想，实现教研重心下移，转变教研形式。到学校进行现场诊断与指导，意在关注一线课堂教学，聚焦课堂教学实际问题，与学校一起研究优化课堂教学策略，以有效提升学校的教研教学质量。</w:t>
      </w:r>
    </w:p>
    <w:p>
      <w:pPr>
        <w:spacing w:line="48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为了进一步提高视导工作的针对性和实效性，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instrText xml:space="preserve"> HYPERLINK "mailto:为了真正体现\“按需视导、差异化视导\”，进一步提高集体视导的针对性、有效性，体现研培中心指导、培训、服务、咨询的功能，共同促进双流区初中教育的均衡优质发展。从本学期开始，初中集体视导拟采用自主申报和统一安排相结合，重点学科和集体视导相结合。请各学校根据学校工作情况、教学进度的安排、师资力量情况，积极填写申报集体视导表，上交到邮箱909114521@qq.com，截止时间为9月10日。" </w:instrTex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fldChar w:fldCharType="separate"/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真正实现“基于需求、基于问题、基于提升、基于总结”的视导，体现研培中心指导、培训、服务、咨询的功能，共同促进双流区初中教育的均衡优质发展。初中集体视导继续沿用自主申报和统一安排相结合，重点学科和集体视导相结合的办法。请各学校根据学校工作情况、教学进度的安排、师资力量情况，积极填写集体视导申报表，并上交到邮箱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909114521@qq.com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，截止时间为</w:t>
      </w:r>
      <w:r>
        <w:rPr>
          <w:rStyle w:val="3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3月1日。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研培中心初中室将根据申报情况并结合全区初中学校发展实际，统筹安排集体视导工作。</w:t>
      </w:r>
    </w:p>
    <w:p>
      <w:pPr>
        <w:spacing w:line="480" w:lineRule="auto"/>
        <w:ind w:firstLine="562" w:firstLineChars="200"/>
        <w:rPr>
          <w:rFonts w:hint="eastAsia" w:ascii="仿宋" w:hAnsi="仿宋" w:eastAsia="仿宋" w:cs="仿宋"/>
          <w:b/>
          <w:bCs/>
          <w:color w:val="0000FF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u w:val="none"/>
          <w:lang w:eastAsia="zh-CN"/>
        </w:rPr>
        <w:t>同时请积极申请承办学科教研活动工作。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附表1：2018—2019学年下期集体视导申报表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附表2：2018—2019学年下期承办学科教研活动申报表</w:t>
      </w:r>
    </w:p>
    <w:p>
      <w:pPr>
        <w:spacing w:line="480" w:lineRule="auto"/>
        <w:ind w:firstLine="42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成都市双流区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教育研究与教师培训中心</w:t>
      </w:r>
    </w:p>
    <w:p>
      <w:pPr>
        <w:spacing w:line="480" w:lineRule="auto"/>
        <w:ind w:firstLine="42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附表1： 2018—2019学年下期集体视导申报表</w:t>
      </w:r>
    </w:p>
    <w:tbl>
      <w:tblPr>
        <w:tblStyle w:val="5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01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大致时间</w:t>
            </w: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视导内容（重点学科、年级、学案编写、课堂建模、复习策略、学科组建设等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等。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vertAlign w:val="baseline"/>
                <w:lang w:val="en-US" w:eastAsia="zh-CN"/>
              </w:rPr>
              <w:t>可以细化、具体；上学期申报过的年级、学科可以继续。</w:t>
            </w: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2" w:type="dxa"/>
            <w:vMerge w:val="restart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Merge w:val="restart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  <w:vMerge w:val="restart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2" w:type="dxa"/>
            <w:vMerge w:val="continue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Merge w:val="continue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  <w:vMerge w:val="continue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spacing w:line="480" w:lineRule="auto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附表2： 2018—2019学年下期承办学科教研活动申报表</w:t>
      </w:r>
    </w:p>
    <w:tbl>
      <w:tblPr>
        <w:tblStyle w:val="5"/>
        <w:tblW w:w="8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301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大致时间</w:t>
            </w: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  <w:t>教研活动（学科、年级、上公开课教师名单）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2" w:type="dxa"/>
            <w:vMerge w:val="restart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Merge w:val="restart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  <w:vMerge w:val="restart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2" w:type="dxa"/>
            <w:vMerge w:val="continue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Merge w:val="continue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  <w:vMerge w:val="continue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6000" w:type="dxa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ind w:firstLine="420"/>
        <w:jc w:val="both"/>
        <w:rPr>
          <w:rFonts w:hint="eastAsia" w:ascii="黑体" w:hAnsi="黑体" w:eastAsia="黑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DA"/>
    <w:rsid w:val="00192152"/>
    <w:rsid w:val="001E3BDA"/>
    <w:rsid w:val="00615F8E"/>
    <w:rsid w:val="1EDD4997"/>
    <w:rsid w:val="2E2E2EDF"/>
    <w:rsid w:val="4E697583"/>
    <w:rsid w:val="5F3E43DB"/>
    <w:rsid w:val="6F3A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10</TotalTime>
  <ScaleCrop>false</ScaleCrop>
  <LinksUpToDate>false</LinksUpToDate>
  <CharactersWithSpaces>136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2018-03-27T01:57:00Z</dcterms:created>
  <dc:creator>PLS</dc:creator>
  <cp:lastModifiedBy>，城市鬣人。</cp:lastModifiedBy>
  <cp:lastPrinted>2018-08-31T06:50:00Z</cp:lastPrinted>
  <dcterms:modified xsi:type="dcterms:W3CDTF">2019-02-21T01:44:33Z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