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00" w:lineRule="auto"/>
        <w:jc w:val="center"/>
        <w:rPr>
          <w:rFonts w:hint="eastAsia" w:ascii="黑体" w:hAnsi="黑体" w:eastAsia="黑体" w:cs="黑体"/>
          <w:b/>
          <w:spacing w:val="15"/>
          <w:sz w:val="30"/>
          <w:szCs w:val="30"/>
        </w:rPr>
      </w:pPr>
      <w:r>
        <w:rPr>
          <w:rFonts w:hint="eastAsia" w:ascii="黑体" w:hAnsi="黑体" w:eastAsia="黑体" w:cs="黑体"/>
          <w:b/>
          <w:spacing w:val="15"/>
          <w:sz w:val="30"/>
          <w:szCs w:val="30"/>
          <w:lang w:eastAsia="zh-CN"/>
        </w:rPr>
        <w:t>成都市双流区</w:t>
      </w:r>
      <w:r>
        <w:rPr>
          <w:rFonts w:hint="eastAsia" w:ascii="黑体" w:hAnsi="黑体" w:eastAsia="黑体" w:cs="黑体"/>
          <w:b/>
          <w:spacing w:val="15"/>
          <w:sz w:val="30"/>
          <w:szCs w:val="30"/>
        </w:rPr>
        <w:t>教育科学研究院关于举办</w:t>
      </w:r>
    </w:p>
    <w:p>
      <w:pPr>
        <w:widowControl/>
        <w:snapToGrid w:val="0"/>
        <w:spacing w:line="300" w:lineRule="auto"/>
        <w:jc w:val="center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spacing w:val="15"/>
          <w:sz w:val="30"/>
          <w:szCs w:val="30"/>
        </w:rPr>
        <w:t>2020年小学道德与法治优质课赛课活动的通知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jc w:val="left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各小学（含九义学校小学部）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Helvetica Neue" w:hAnsi="Helvetica Neue" w:cs="Helvetica Neue"/>
          <w:kern w:val="0"/>
          <w:sz w:val="24"/>
          <w:szCs w:val="24"/>
        </w:rPr>
      </w:pPr>
      <w:r>
        <w:rPr>
          <w:rFonts w:ascii="Helvetica Neue" w:hAnsi="Helvetica Neue" w:cs="Helvetica Neue"/>
          <w:kern w:val="0"/>
          <w:sz w:val="24"/>
          <w:szCs w:val="24"/>
        </w:rPr>
        <w:t>为贯彻落实《关于深化新时代学校思想政治理论课改革创新的若干意见》，将小学道德与法治</w:t>
      </w:r>
      <w:r>
        <w:rPr>
          <w:rFonts w:hint="eastAsia" w:ascii="Helvetica Neue" w:hAnsi="Helvetica Neue" w:cs="Helvetica Neue"/>
          <w:kern w:val="0"/>
          <w:sz w:val="24"/>
          <w:szCs w:val="24"/>
        </w:rPr>
        <w:t>的课堂教学</w:t>
      </w:r>
      <w:r>
        <w:rPr>
          <w:rFonts w:ascii="Helvetica Neue" w:hAnsi="Helvetica Neue" w:cs="Helvetica Neue"/>
          <w:kern w:val="0"/>
          <w:sz w:val="24"/>
          <w:szCs w:val="24"/>
        </w:rPr>
        <w:t>落细落实，聚焦新教材，把握新教材，增强教材解读能力，夯实教师教学技能，提升教师专业素养，促进老师们积极投身于对新教材的研究之中。</w:t>
      </w:r>
      <w:r>
        <w:rPr>
          <w:rFonts w:hint="eastAsia" w:ascii="Helvetica Neue" w:hAnsi="Helvetica Neue" w:cs="Helvetica Neue"/>
          <w:kern w:val="0"/>
          <w:sz w:val="24"/>
          <w:szCs w:val="24"/>
          <w:lang w:eastAsia="zh-CN"/>
        </w:rPr>
        <w:t>根据《成都市教育科学研究院关于举办2020年小学道德与法治优质课赛课活动的通知》的相关要求，</w:t>
      </w:r>
      <w:r>
        <w:rPr>
          <w:rFonts w:ascii="Helvetica Neue" w:hAnsi="Helvetica Neue" w:cs="Helvetica Neue"/>
          <w:kern w:val="0"/>
          <w:sz w:val="24"/>
          <w:szCs w:val="24"/>
        </w:rPr>
        <w:t>经研究，定于2020年</w:t>
      </w:r>
      <w:r>
        <w:rPr>
          <w:rFonts w:hint="eastAsia" w:ascii="Helvetica Neue" w:hAnsi="Helvetica Neue" w:cs="Helvetica Neue"/>
          <w:kern w:val="0"/>
          <w:sz w:val="24"/>
          <w:szCs w:val="24"/>
          <w:lang w:val="en-US" w:eastAsia="zh-CN"/>
        </w:rPr>
        <w:t>10</w:t>
      </w:r>
      <w:r>
        <w:rPr>
          <w:rFonts w:ascii="Helvetica Neue" w:hAnsi="Helvetica Neue" w:cs="Helvetica Neue"/>
          <w:kern w:val="0"/>
          <w:sz w:val="24"/>
          <w:szCs w:val="24"/>
        </w:rPr>
        <w:t>月举办“</w:t>
      </w:r>
      <w:r>
        <w:rPr>
          <w:rFonts w:hint="eastAsia" w:ascii="Helvetica Neue" w:hAnsi="Helvetica Neue" w:cs="Helvetica Neue"/>
          <w:kern w:val="0"/>
          <w:sz w:val="24"/>
          <w:szCs w:val="24"/>
          <w:lang w:eastAsia="zh-CN"/>
        </w:rPr>
        <w:t>双流区</w:t>
      </w:r>
      <w:r>
        <w:rPr>
          <w:rFonts w:ascii="Helvetica Neue" w:hAnsi="Helvetica Neue" w:cs="Helvetica Neue"/>
          <w:kern w:val="0"/>
          <w:sz w:val="24"/>
          <w:szCs w:val="24"/>
        </w:rPr>
        <w:t>小学道德与法治优质课</w:t>
      </w:r>
      <w:r>
        <w:rPr>
          <w:rFonts w:hint="eastAsia" w:ascii="Helvetica Neue" w:hAnsi="Helvetica Neue" w:cs="Helvetica Neue"/>
          <w:kern w:val="0"/>
          <w:sz w:val="24"/>
          <w:szCs w:val="24"/>
        </w:rPr>
        <w:t>大赛</w:t>
      </w:r>
      <w:r>
        <w:rPr>
          <w:rFonts w:ascii="Helvetica Neue" w:hAnsi="Helvetica Neue" w:cs="Helvetica Neue"/>
          <w:kern w:val="0"/>
          <w:sz w:val="24"/>
          <w:szCs w:val="24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  <w:t>一、组织领导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本次大赛由成都市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双流区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教育科学研究院主办，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双流区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各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小学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承办。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  <w:t>二、选课范围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小学道德与法治统编教材1-6年级所有内容均可。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  <w:t>三、活动安排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1.本次大赛包括学校初赛、区县决赛和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优秀课报送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三个环节。学校将初赛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后推荐一节优质课录相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报送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到双流区教育科学研究院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，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双流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区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从学校报送的优质课录相中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推荐3节优质课参加市级决赛。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2.具体要求：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（1）参赛选手年龄45周岁以下。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）每所学校报送一节优质课。已参加双流区第十届小学道德与法治学科大比的教</w:t>
      </w:r>
      <w:bookmarkStart w:id="0" w:name="_GoBack"/>
      <w:bookmarkEnd w:id="0"/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师，不需重复报送资料。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3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）推荐课内容包括课堂实录（40分钟）和说课实录（5分钟）、教学设计（详案，格式见附件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二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）及PPT、说课稿及PPT、其它相关音视频等教学资源。（录制要求见附件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一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）。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资料不齐备的课例评选后作降级处理。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4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）请各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学校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严把专业关，确保所推荐的优质课不出现意识形态偏差和学科知识错误。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5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）推荐时间：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双流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区决赛于10月结束。请于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9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日前将课堂实录、教学资源包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（相关要求参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照附件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一、附件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二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）用移动硬盘拷贝到双流区教育科学研究院教师发展室一。也可以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发送到邮箱：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1150521489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@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qq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.com。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联系电话：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15884436662。联系人：屈勇。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kern w:val="0"/>
          <w:sz w:val="24"/>
          <w:szCs w:val="24"/>
        </w:rPr>
        <w:t>四、奖项设置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1.本次大赛将评出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区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级一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等奖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、二等奖。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2.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荣获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一等奖的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前三名教师推荐参加2020年小学道德与法治优质课赛课活动，成都市前三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名将在2021年上半年全市教研活动上作现场展示交流。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3.</w:t>
      </w: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推荐的前三名教师的课堂实录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经审核合格，将收入成都市中小学教师继续教育网小学道德与法治课程资源库。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附件一：课堂实录的录制要求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附件二：教学设计模板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right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lang w:eastAsia="zh-CN"/>
        </w:rPr>
        <w:t>成都市双流区教育科学研究院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right"/>
        <w:textAlignment w:val="auto"/>
        <w:rPr>
          <w:rFonts w:hint="eastAsia" w:ascii="新宋体" w:hAnsi="新宋体" w:eastAsia="新宋体" w:cs="新宋体"/>
          <w:kern w:val="0"/>
          <w:sz w:val="24"/>
          <w:szCs w:val="24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</w:rPr>
        <w:t>2020年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7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月</w:t>
      </w:r>
      <w:r>
        <w:rPr>
          <w:rFonts w:hint="eastAsia" w:ascii="新宋体" w:hAnsi="新宋体" w:eastAsia="新宋体" w:cs="新宋体"/>
          <w:kern w:val="0"/>
          <w:sz w:val="24"/>
          <w:szCs w:val="24"/>
          <w:lang w:val="en-US" w:eastAsia="zh-CN"/>
        </w:rPr>
        <w:t>14</w:t>
      </w:r>
      <w:r>
        <w:rPr>
          <w:rFonts w:hint="eastAsia" w:ascii="新宋体" w:hAnsi="新宋体" w:eastAsia="新宋体" w:cs="新宋体"/>
          <w:kern w:val="0"/>
          <w:sz w:val="24"/>
          <w:szCs w:val="24"/>
        </w:rPr>
        <w:t>日</w:t>
      </w: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bCs/>
          <w:sz w:val="28"/>
          <w:szCs w:val="28"/>
        </w:rPr>
      </w:pPr>
    </w:p>
    <w:p>
      <w:pPr>
        <w:widowControl/>
        <w:jc w:val="left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eastAsia="zh-CN"/>
        </w:rPr>
        <w:t>一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：</w:t>
      </w:r>
    </w:p>
    <w:p>
      <w:pPr>
        <w:widowControl/>
        <w:jc w:val="center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课堂实录的录制要求</w:t>
      </w:r>
    </w:p>
    <w:p>
      <w:pPr>
        <w:widowControl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 xml:space="preserve">    1.本次优质课大赛录制时间为 45 分钟。其中，课堂实录时间 40 分钟，说课时间5 分钟。 </w:t>
      </w:r>
    </w:p>
    <w:p>
      <w:pPr>
        <w:widowControl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 xml:space="preserve">    2.录制数据采用通用格式保存，保证普通电脑可将数据读出，如不能正常读出，后果由参赛选手单位承担。</w:t>
      </w:r>
    </w:p>
    <w:p>
      <w:pPr>
        <w:widowControl/>
        <w:jc w:val="left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 xml:space="preserve">    3.请全部使用双机位拍摄，建议使用专用录像教室拍摄；如果有前置作业，可以在录像教室里做环境创设，增强课堂感染力。 </w:t>
      </w:r>
    </w:p>
    <w:p>
      <w:pPr>
        <w:widowControl/>
        <w:ind w:firstLine="600"/>
        <w:jc w:val="left"/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>4.课堂实录和教学资源包的文件名均请务必采用“</w:t>
      </w: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eastAsia="zh-CN" w:bidi="ar"/>
        </w:rPr>
        <w:t>双流</w:t>
      </w: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>区-xx小学-张三-辽阔的国土”的格式，注明参赛</w:t>
      </w: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eastAsia="zh-CN" w:bidi="ar"/>
        </w:rPr>
        <w:t>学校</w:t>
      </w: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bidi="ar"/>
        </w:rPr>
        <w:t>、教师、课题名称。</w:t>
      </w:r>
    </w:p>
    <w:p>
      <w:pPr>
        <w:widowControl/>
        <w:ind w:firstLine="600"/>
        <w:jc w:val="left"/>
        <w:rPr>
          <w:rFonts w:hint="default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新宋体" w:hAnsi="新宋体" w:eastAsia="新宋体" w:cs="新宋体"/>
          <w:color w:val="000000"/>
          <w:kern w:val="0"/>
          <w:sz w:val="30"/>
          <w:szCs w:val="30"/>
          <w:lang w:val="en-US" w:eastAsia="zh-CN" w:bidi="ar"/>
        </w:rPr>
        <w:t>5.视频文件注意压缩，尽量控制在2G以内。视频要做到声音清楚，画面清晰。</w:t>
      </w: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</w:p>
    <w:p>
      <w:pPr>
        <w:spacing w:line="300" w:lineRule="auto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附件</w:t>
      </w:r>
      <w:r>
        <w:rPr>
          <w:rFonts w:hint="eastAsia" w:ascii="新宋体" w:hAnsi="新宋体" w:eastAsia="新宋体" w:cs="新宋体"/>
          <w:b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新宋体" w:hAnsi="新宋体" w:eastAsia="新宋体" w:cs="新宋体"/>
          <w:b/>
          <w:bCs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</w:rPr>
        <w:t>教学设计模板</w:t>
      </w:r>
    </w:p>
    <w:p>
      <w:pPr>
        <w:spacing w:line="300" w:lineRule="auto"/>
        <w:ind w:firstLine="562" w:firstLineChars="200"/>
        <w:jc w:val="center"/>
        <w:rPr>
          <w:rFonts w:hint="eastAsia" w:ascii="新宋体" w:hAnsi="新宋体" w:eastAsia="新宋体" w:cs="新宋体"/>
          <w:b/>
          <w:sz w:val="28"/>
          <w:szCs w:val="28"/>
        </w:rPr>
      </w:pPr>
      <w:r>
        <w:rPr>
          <w:rFonts w:hint="eastAsia" w:ascii="新宋体" w:hAnsi="新宋体" w:eastAsia="新宋体" w:cs="新宋体"/>
          <w:b/>
          <w:sz w:val="28"/>
          <w:szCs w:val="28"/>
        </w:rPr>
        <w:t>课例名称：</w:t>
      </w:r>
    </w:p>
    <w:p>
      <w:pPr>
        <w:spacing w:line="300" w:lineRule="auto"/>
        <w:ind w:firstLine="482" w:firstLineChars="200"/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执教老师：               学校：                      电话：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【教材分析】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【学情分析】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【教学目标】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【教学重点】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【教学难点】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【教学准备】</w:t>
      </w: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kern w:val="0"/>
          <w:sz w:val="24"/>
        </w:rPr>
      </w:pPr>
      <w:r>
        <w:rPr>
          <w:rFonts w:hint="eastAsia" w:ascii="新宋体" w:hAnsi="新宋体" w:eastAsia="新宋体" w:cs="新宋体"/>
          <w:b/>
          <w:kern w:val="0"/>
          <w:sz w:val="24"/>
        </w:rPr>
        <w:t>【教学方法】</w:t>
      </w:r>
    </w:p>
    <w:p>
      <w:pPr>
        <w:rPr>
          <w:rFonts w:hint="eastAsia" w:ascii="新宋体" w:hAnsi="新宋体" w:eastAsia="新宋体" w:cs="新宋体"/>
          <w:b/>
          <w:kern w:val="0"/>
          <w:sz w:val="24"/>
        </w:rPr>
      </w:pPr>
    </w:p>
    <w:p>
      <w:pPr>
        <w:rPr>
          <w:rFonts w:hint="eastAsia" w:ascii="新宋体" w:hAnsi="新宋体" w:eastAsia="新宋体" w:cs="新宋体"/>
          <w:b/>
          <w:color w:val="000000"/>
          <w:kern w:val="0"/>
          <w:sz w:val="24"/>
        </w:rPr>
      </w:pPr>
      <w:r>
        <w:rPr>
          <w:rFonts w:hint="eastAsia" w:ascii="新宋体" w:hAnsi="新宋体" w:eastAsia="新宋体" w:cs="新宋体"/>
          <w:b/>
          <w:color w:val="000000"/>
          <w:kern w:val="0"/>
          <w:sz w:val="24"/>
        </w:rPr>
        <w:t>【教学过程】</w:t>
      </w:r>
    </w:p>
    <w:tbl>
      <w:tblPr>
        <w:tblStyle w:val="3"/>
        <w:tblpPr w:leftFromText="180" w:rightFromText="180" w:vertAnchor="text" w:horzAnchor="page" w:tblpX="1372" w:tblpY="437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314"/>
        <w:gridCol w:w="2314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1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教学环节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学生活动</w:t>
            </w:r>
          </w:p>
        </w:tc>
        <w:tc>
          <w:tcPr>
            <w:tcW w:w="2316" w:type="dxa"/>
            <w:noWrap w:val="0"/>
            <w:vAlign w:val="top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kern w:val="0"/>
                <w:sz w:val="24"/>
              </w:rPr>
              <w:t>导入: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环节一: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314" w:type="dxa"/>
            <w:noWrap w:val="0"/>
            <w:vAlign w:val="top"/>
          </w:tcPr>
          <w:p>
            <w:pP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环节二: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314" w:type="dxa"/>
            <w:noWrap w:val="0"/>
            <w:vAlign w:val="top"/>
          </w:tcPr>
          <w:p>
            <w:pPr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环节三: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ascii="新宋体" w:hAnsi="新宋体" w:eastAsia="新宋体" w:cs="新宋体"/>
                <w:b/>
                <w:color w:val="000000"/>
                <w:kern w:val="0"/>
                <w:sz w:val="24"/>
              </w:rPr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24"/>
              </w:rPr>
              <w:t>……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4"/>
              </w:rPr>
              <w:t>总结</w:t>
            </w: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4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  <w:tc>
          <w:tcPr>
            <w:tcW w:w="2316" w:type="dxa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新宋体" w:hAnsi="新宋体" w:eastAsia="新宋体" w:cs="新宋体"/>
          <w:b/>
          <w:sz w:val="24"/>
        </w:rPr>
      </w:pPr>
    </w:p>
    <w:p>
      <w:pPr>
        <w:rPr>
          <w:rFonts w:hint="eastAsia" w:ascii="新宋体" w:hAnsi="新宋体" w:eastAsia="新宋体" w:cs="新宋体"/>
          <w:b/>
          <w:sz w:val="24"/>
        </w:rPr>
      </w:pPr>
    </w:p>
    <w:p>
      <w:pPr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【课堂实录】</w:t>
      </w:r>
    </w:p>
    <w:p>
      <w:pPr>
        <w:rPr>
          <w:rFonts w:hint="eastAsia" w:ascii="新宋体" w:hAnsi="新宋体" w:eastAsia="新宋体" w:cs="新宋体"/>
          <w:b/>
          <w:sz w:val="24"/>
        </w:rPr>
      </w:pPr>
    </w:p>
    <w:p>
      <w:pPr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【板书设计】</w:t>
      </w:r>
    </w:p>
    <w:p>
      <w:pPr>
        <w:rPr>
          <w:rFonts w:hint="eastAsia" w:ascii="新宋体" w:hAnsi="新宋体" w:eastAsia="新宋体" w:cs="新宋体"/>
          <w:b/>
          <w:sz w:val="24"/>
        </w:rPr>
      </w:pPr>
    </w:p>
    <w:p>
      <w:pPr>
        <w:rPr>
          <w:rFonts w:hint="eastAsia" w:ascii="新宋体" w:hAnsi="新宋体" w:eastAsia="新宋体" w:cs="新宋体"/>
          <w:b/>
          <w:sz w:val="24"/>
        </w:rPr>
      </w:pPr>
      <w:r>
        <w:rPr>
          <w:rFonts w:hint="eastAsia" w:ascii="新宋体" w:hAnsi="新宋体" w:eastAsia="新宋体" w:cs="新宋体"/>
          <w:b/>
          <w:sz w:val="24"/>
        </w:rPr>
        <w:t>【教学反思】</w:t>
      </w:r>
    </w:p>
    <w:p>
      <w:pPr>
        <w:spacing w:line="300" w:lineRule="auto"/>
        <w:rPr>
          <w:rFonts w:ascii="宋体" w:hAnsi="宋体" w:cs="宋体"/>
          <w:b/>
          <w:sz w:val="24"/>
        </w:rPr>
      </w:pPr>
    </w:p>
    <w:p/>
    <w:sectPr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Helvetica Neue">
    <w:altName w:val="Source Sans Pro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Source Sans Pro">
    <w:panose1 w:val="020B05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C3BA4"/>
    <w:rsid w:val="02632959"/>
    <w:rsid w:val="136C3BA4"/>
    <w:rsid w:val="1B017C29"/>
    <w:rsid w:val="2EBC2B1B"/>
    <w:rsid w:val="398B74F0"/>
    <w:rsid w:val="4F96452A"/>
    <w:rsid w:val="604259E0"/>
    <w:rsid w:val="774B7940"/>
    <w:rsid w:val="787E6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新宋体" w:hAnsi="新宋体" w:eastAsia="新宋体" w:cs="新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2020-07-13T09:31:00Z</dcterms:created>
  <dc:creator>Administrator</dc:creator>
  <cp:lastModifiedBy>Administrator</cp:lastModifiedBy>
  <cp:lastPrinted>2020-07-14T07:58:32Z</cp:lastPrinted>
  <dcterms:modified xsi:type="dcterms:W3CDTF">2020-07-14T08:06:08Z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