
<file path=[Content_Types].xml><?xml version="1.0" encoding="utf-8"?>
<Types xmlns="http://schemas.openxmlformats.org/package/2006/content-types">
  <Default Extension="wmf" ContentType="image/x-wmf"/>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00" w:lineRule="exact"/>
        <w:jc w:val="center"/>
        <w:rPr>
          <w:rFonts w:hint="eastAsia" w:ascii="宋体" w:hAnsi="宋体" w:eastAsia="宋体" w:cs="宋体"/>
          <w:b/>
          <w:bCs/>
          <w:color w:val="333333"/>
          <w:szCs w:val="21"/>
          <w:lang w:val="en-US" w:eastAsia="zh-CN"/>
        </w:rPr>
      </w:pPr>
      <w:r>
        <w:rPr>
          <w:rFonts w:hint="eastAsia" w:ascii="宋体" w:hAnsi="宋体" w:eastAsia="宋体" w:cs="宋体"/>
          <w:b/>
          <w:bCs/>
          <w:color w:val="333333"/>
          <w:szCs w:val="21"/>
          <w:lang w:val="en-US" w:eastAsia="zh-CN"/>
        </w:rPr>
        <w:t>运用深度学习策略,解决问题中建构化学</w:t>
      </w:r>
    </w:p>
    <w:p>
      <w:pPr>
        <w:spacing w:line="400" w:lineRule="exact"/>
        <w:jc w:val="center"/>
        <w:rPr>
          <w:rFonts w:ascii="宋体" w:hAnsi="宋体" w:eastAsia="宋体" w:cs="宋体"/>
          <w:b/>
          <w:bCs/>
          <w:color w:val="333333"/>
          <w:szCs w:val="21"/>
        </w:rPr>
      </w:pPr>
      <w:r>
        <w:rPr>
          <w:rFonts w:ascii="宋体" w:hAnsi="宋体" w:eastAsia="宋体" w:cs="宋体"/>
          <w:b/>
          <w:bCs/>
          <w:color w:val="333333"/>
          <w:szCs w:val="21"/>
        </w:rPr>
        <w:t>——崔正</w:t>
      </w:r>
      <w:r>
        <w:rPr>
          <w:rFonts w:hint="eastAsia" w:ascii="宋体" w:hAnsi="宋体" w:eastAsia="宋体" w:cs="宋体"/>
          <w:b/>
          <w:bCs/>
          <w:color w:val="333333"/>
          <w:szCs w:val="21"/>
        </w:rPr>
        <w:t>淳</w:t>
      </w:r>
      <w:r>
        <w:rPr>
          <w:rFonts w:ascii="宋体" w:hAnsi="宋体" w:eastAsia="宋体" w:cs="宋体"/>
          <w:b/>
          <w:bCs/>
          <w:color w:val="333333"/>
          <w:szCs w:val="21"/>
        </w:rPr>
        <w:t>工作室202</w:t>
      </w:r>
      <w:r>
        <w:rPr>
          <w:rFonts w:hint="eastAsia" w:ascii="宋体" w:hAnsi="宋体" w:eastAsia="宋体" w:cs="宋体"/>
          <w:b/>
          <w:bCs/>
          <w:color w:val="333333"/>
          <w:szCs w:val="21"/>
          <w:lang w:val="en-US" w:eastAsia="zh-CN"/>
        </w:rPr>
        <w:t>2</w:t>
      </w:r>
      <w:r>
        <w:rPr>
          <w:rFonts w:ascii="宋体" w:hAnsi="宋体" w:eastAsia="宋体" w:cs="宋体"/>
          <w:b/>
          <w:bCs/>
          <w:color w:val="333333"/>
          <w:szCs w:val="21"/>
        </w:rPr>
        <w:t>.</w:t>
      </w:r>
      <w:r>
        <w:rPr>
          <w:rFonts w:hint="eastAsia" w:ascii="宋体" w:hAnsi="宋体" w:eastAsia="宋体" w:cs="宋体"/>
          <w:b/>
          <w:bCs/>
          <w:color w:val="333333"/>
          <w:szCs w:val="21"/>
          <w:lang w:val="en-US" w:eastAsia="zh-CN"/>
        </w:rPr>
        <w:t>9</w:t>
      </w:r>
      <w:r>
        <w:rPr>
          <w:rFonts w:ascii="宋体" w:hAnsi="宋体" w:eastAsia="宋体" w:cs="宋体"/>
          <w:b/>
          <w:bCs/>
          <w:color w:val="333333"/>
          <w:szCs w:val="21"/>
        </w:rPr>
        <w:t>.</w:t>
      </w:r>
      <w:r>
        <w:rPr>
          <w:rFonts w:hint="eastAsia" w:ascii="宋体" w:hAnsi="宋体" w:eastAsia="宋体" w:cs="宋体"/>
          <w:b/>
          <w:bCs/>
          <w:color w:val="333333"/>
          <w:szCs w:val="21"/>
          <w:lang w:val="en-US" w:eastAsia="zh-CN"/>
        </w:rPr>
        <w:t>22</w:t>
      </w:r>
      <w:r>
        <w:rPr>
          <w:rFonts w:ascii="宋体" w:hAnsi="宋体" w:eastAsia="宋体" w:cs="宋体"/>
          <w:b/>
          <w:bCs/>
          <w:color w:val="333333"/>
          <w:szCs w:val="21"/>
        </w:rPr>
        <w:t>简讯</w:t>
      </w:r>
      <w:bookmarkStart w:id="0" w:name="_GoBack"/>
      <w:bookmarkEnd w:id="0"/>
    </w:p>
    <w:p>
      <w:pPr>
        <w:spacing w:line="400" w:lineRule="exact"/>
        <w:jc w:val="center"/>
        <w:rPr>
          <w:rFonts w:hint="default" w:ascii="宋体" w:hAnsi="宋体" w:eastAsia="宋体" w:cs="宋体"/>
          <w:b/>
          <w:bCs/>
          <w:color w:val="333333"/>
          <w:szCs w:val="21"/>
          <w:lang w:val="en-US" w:eastAsia="zh-CN"/>
        </w:rPr>
      </w:pPr>
      <w:r>
        <w:rPr>
          <w:rFonts w:hint="eastAsia" w:ascii="宋体" w:hAnsi="宋体" w:eastAsia="宋体" w:cs="宋体"/>
          <w:b/>
          <w:bCs/>
          <w:color w:val="333333"/>
          <w:szCs w:val="21"/>
        </w:rPr>
        <w:t>文/</w:t>
      </w:r>
      <w:r>
        <w:rPr>
          <w:rFonts w:hint="eastAsia" w:ascii="宋体" w:hAnsi="宋体" w:eastAsia="宋体" w:cs="宋体"/>
          <w:b/>
          <w:bCs/>
          <w:color w:val="333333"/>
          <w:szCs w:val="21"/>
          <w:lang w:val="en-US" w:eastAsia="zh-CN"/>
        </w:rPr>
        <w:t>杜艳霞 黄莎莎</w:t>
      </w:r>
    </w:p>
    <w:p>
      <w:pPr>
        <w:spacing w:line="400" w:lineRule="exact"/>
        <w:ind w:firstLine="420" w:firstLineChars="200"/>
        <w:rPr>
          <w:rFonts w:hint="eastAsia" w:ascii="宋体" w:hAnsi="宋体" w:eastAsia="宋体" w:cs="宋体"/>
          <w:color w:val="333333"/>
          <w:szCs w:val="21"/>
          <w:lang w:val="en-US" w:eastAsia="zh-CN"/>
        </w:rPr>
      </w:pPr>
      <w:r>
        <w:rPr>
          <w:rFonts w:ascii="宋体" w:hAnsi="宋体" w:eastAsia="宋体" w:cs="宋体"/>
          <w:color w:val="333333"/>
          <w:szCs w:val="21"/>
        </w:rPr>
        <w:t>202</w:t>
      </w:r>
      <w:r>
        <w:rPr>
          <w:rFonts w:hint="eastAsia" w:ascii="宋体" w:hAnsi="宋体" w:eastAsia="宋体" w:cs="宋体"/>
          <w:color w:val="333333"/>
          <w:szCs w:val="21"/>
          <w:lang w:val="en-US" w:eastAsia="zh-CN"/>
        </w:rPr>
        <w:t>2</w:t>
      </w:r>
      <w:r>
        <w:rPr>
          <w:rFonts w:ascii="宋体" w:hAnsi="宋体" w:eastAsia="宋体" w:cs="宋体"/>
          <w:color w:val="333333"/>
          <w:szCs w:val="21"/>
        </w:rPr>
        <w:t>年</w:t>
      </w:r>
      <w:r>
        <w:rPr>
          <w:rFonts w:hint="eastAsia" w:ascii="宋体" w:hAnsi="宋体" w:eastAsia="宋体" w:cs="宋体"/>
          <w:color w:val="333333"/>
          <w:szCs w:val="21"/>
          <w:lang w:val="en-US" w:eastAsia="zh-CN"/>
        </w:rPr>
        <w:t>9</w:t>
      </w:r>
      <w:r>
        <w:rPr>
          <w:rFonts w:ascii="宋体" w:hAnsi="宋体" w:eastAsia="宋体" w:cs="宋体"/>
          <w:color w:val="333333"/>
          <w:szCs w:val="21"/>
        </w:rPr>
        <w:t>月</w:t>
      </w:r>
      <w:r>
        <w:rPr>
          <w:rFonts w:hint="eastAsia" w:ascii="宋体" w:hAnsi="宋体" w:eastAsia="宋体" w:cs="宋体"/>
          <w:color w:val="333333"/>
          <w:szCs w:val="21"/>
          <w:lang w:val="en-US" w:eastAsia="zh-CN"/>
        </w:rPr>
        <w:t>22</w:t>
      </w:r>
      <w:r>
        <w:rPr>
          <w:rFonts w:ascii="宋体" w:hAnsi="宋体" w:eastAsia="宋体" w:cs="宋体"/>
          <w:color w:val="333333"/>
          <w:szCs w:val="21"/>
        </w:rPr>
        <w:t>日</w:t>
      </w:r>
      <w:r>
        <w:rPr>
          <w:rFonts w:hint="eastAsia" w:ascii="宋体" w:hAnsi="宋体" w:eastAsia="宋体" w:cs="宋体"/>
          <w:color w:val="333333"/>
          <w:szCs w:val="21"/>
          <w:lang w:val="en-US" w:eastAsia="zh-CN"/>
        </w:rPr>
        <w:t>下</w:t>
      </w:r>
      <w:r>
        <w:rPr>
          <w:rFonts w:hint="eastAsia" w:ascii="宋体" w:hAnsi="宋体" w:eastAsia="宋体" w:cs="宋体"/>
          <w:color w:val="333333"/>
          <w:szCs w:val="21"/>
        </w:rPr>
        <w:t>午，</w:t>
      </w:r>
      <w:r>
        <w:rPr>
          <w:rFonts w:ascii="宋体" w:hAnsi="宋体" w:eastAsia="宋体" w:cs="宋体"/>
          <w:color w:val="333333"/>
          <w:szCs w:val="21"/>
        </w:rPr>
        <w:t>成都市双流区名师崔正淳工作室全体成员</w:t>
      </w:r>
      <w:r>
        <w:rPr>
          <w:rFonts w:hint="eastAsia" w:ascii="宋体" w:hAnsi="宋体" w:eastAsia="宋体" w:cs="宋体"/>
          <w:color w:val="333333"/>
          <w:szCs w:val="21"/>
          <w:lang w:val="en-US" w:eastAsia="zh-CN"/>
        </w:rPr>
        <w:t>应教科院疫情防控通知要求开展了新学期的第一次线上会议。本次研修活动围绕基于深度学习的中学化学学历案主题开展，对工作室本期课题的顺利开展进行各项工作的具体规划和相互的意见交流与讨论。</w:t>
      </w:r>
    </w:p>
    <w:p>
      <w:pPr>
        <w:pStyle w:val="2"/>
        <w:rPr>
          <w:rFonts w:hint="default"/>
          <w:lang w:val="en-US" w:eastAsia="zh-CN"/>
        </w:rPr>
      </w:pPr>
      <w:r>
        <w:drawing>
          <wp:anchor distT="0" distB="0" distL="114300" distR="114300" simplePos="0" relativeHeight="251659264" behindDoc="0" locked="0" layoutInCell="1" allowOverlap="1">
            <wp:simplePos x="0" y="0"/>
            <wp:positionH relativeFrom="column">
              <wp:posOffset>2856865</wp:posOffset>
            </wp:positionH>
            <wp:positionV relativeFrom="paragraph">
              <wp:posOffset>22225</wp:posOffset>
            </wp:positionV>
            <wp:extent cx="2902585" cy="1882775"/>
            <wp:effectExtent l="0" t="0" r="12065" b="3175"/>
            <wp:wrapSquare wrapText="bothSides"/>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4"/>
                    <a:stretch>
                      <a:fillRect/>
                    </a:stretch>
                  </pic:blipFill>
                  <pic:spPr>
                    <a:xfrm>
                      <a:off x="0" y="0"/>
                      <a:ext cx="2902585" cy="1882775"/>
                    </a:xfrm>
                    <a:prstGeom prst="rect">
                      <a:avLst/>
                    </a:prstGeom>
                    <a:noFill/>
                    <a:ln>
                      <a:noFill/>
                    </a:ln>
                  </pic:spPr>
                </pic:pic>
              </a:graphicData>
            </a:graphic>
          </wp:anchor>
        </w:drawing>
      </w:r>
      <w:r>
        <w:rPr>
          <w:rFonts w:hint="default"/>
          <w:lang w:val="en-US" w:eastAsia="zh-CN"/>
        </w:rPr>
        <w:drawing>
          <wp:inline distT="0" distB="0" distL="114300" distR="114300">
            <wp:extent cx="2914015" cy="1908810"/>
            <wp:effectExtent l="0" t="0" r="635" b="15240"/>
            <wp:docPr id="1" name="图片 1" descr="mmexport1663841130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mmexport1663841130612"/>
                    <pic:cNvPicPr>
                      <a:picLocks noChangeAspect="1"/>
                    </pic:cNvPicPr>
                  </pic:nvPicPr>
                  <pic:blipFill>
                    <a:blip r:embed="rId5"/>
                    <a:stretch>
                      <a:fillRect/>
                    </a:stretch>
                  </pic:blipFill>
                  <pic:spPr>
                    <a:xfrm>
                      <a:off x="0" y="0"/>
                      <a:ext cx="2914015" cy="1908810"/>
                    </a:xfrm>
                    <a:prstGeom prst="rect">
                      <a:avLst/>
                    </a:prstGeom>
                  </pic:spPr>
                </pic:pic>
              </a:graphicData>
            </a:graphic>
          </wp:inline>
        </w:drawing>
      </w:r>
    </w:p>
    <w:p>
      <w:pPr>
        <w:pStyle w:val="2"/>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图1 名师崔正淳工作室全体成员参会</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图</w:t>
      </w:r>
      <w:r>
        <w:rPr>
          <w:rFonts w:hint="eastAsia" w:ascii="Times New Roman" w:hAnsi="Times New Roman" w:eastAsia="宋体" w:cs="Times New Roman"/>
          <w:b w:val="0"/>
          <w:bCs w:val="0"/>
          <w:lang w:val="en-US" w:eastAsia="zh-CN"/>
        </w:rPr>
        <w:t>2</w:t>
      </w:r>
      <w:r>
        <w:rPr>
          <w:rFonts w:hint="default"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en-US" w:eastAsia="zh-CN"/>
        </w:rPr>
        <w:t>杜艳霞教师展示课</w:t>
      </w:r>
    </w:p>
    <w:p>
      <w:pPr>
        <w:spacing w:line="400" w:lineRule="exact"/>
        <w:ind w:firstLine="420" w:firstLineChars="200"/>
        <w:rPr>
          <w:rFonts w:hint="eastAsia" w:ascii="宋体" w:hAnsi="宋体" w:eastAsia="宋体" w:cs="宋体"/>
          <w:color w:val="333333"/>
          <w:szCs w:val="21"/>
        </w:rPr>
      </w:pPr>
      <w:r>
        <w:rPr>
          <w:rFonts w:hint="eastAsia" w:ascii="宋体" w:hAnsi="宋体" w:eastAsia="宋体" w:cs="宋体"/>
          <w:color w:val="333333"/>
          <w:szCs w:val="21"/>
        </w:rPr>
        <w:t>首先</w:t>
      </w:r>
      <w:r>
        <w:rPr>
          <w:rFonts w:hint="eastAsia" w:ascii="宋体" w:hAnsi="宋体" w:eastAsia="宋体" w:cs="宋体"/>
          <w:color w:val="333333"/>
          <w:szCs w:val="21"/>
          <w:lang w:val="en-US" w:eastAsia="zh-CN"/>
        </w:rPr>
        <w:t>双流中学</w:t>
      </w:r>
      <w:r>
        <w:rPr>
          <w:rFonts w:hint="eastAsia" w:ascii="宋体" w:hAnsi="宋体" w:eastAsia="宋体" w:cs="宋体"/>
          <w:color w:val="333333"/>
          <w:szCs w:val="21"/>
        </w:rPr>
        <w:t>杜艳霞老师带来《氯及其化合物》一轮复习课的课例展示。杜艳霞老师以活动元的方式组织教学，以“硫酸亚铁片”作为情景素材。课堂的引入是通过学生观看“硫酸亚铁片”的广告进行引入，紧接着活动元一是学生通过分析“硫酸亚铁片”的主要成分硫酸亚铁的制备方法为探究点，让学生明确同种元素的不同价态之间以及不同元素的同一价态之间可以相互转化来构建“铁元素的价类二维图”。活动元二是学生通过探究久置的硫酸亚铁片是否变质来进行探究二价铁和三价铁的转化及其验证。活动元三是学生基于真实的情景进行</w:t>
      </w:r>
      <w:r>
        <w:rPr>
          <w:rFonts w:hint="eastAsia" w:ascii="宋体" w:hAnsi="宋体" w:eastAsia="宋体" w:cs="宋体"/>
          <w:color w:val="333333"/>
          <w:szCs w:val="21"/>
          <w:lang w:val="en-US" w:eastAsia="zh-CN"/>
        </w:rPr>
        <w:t>应用知识解答</w:t>
      </w:r>
      <w:r>
        <w:rPr>
          <w:rFonts w:hint="eastAsia" w:ascii="宋体" w:hAnsi="宋体" w:eastAsia="宋体" w:cs="宋体"/>
          <w:color w:val="333333"/>
          <w:szCs w:val="21"/>
        </w:rPr>
        <w:t>化工流程中如何制备硫酸亚铁。整个教学过程学生活动充分，体现了学生的主动性。</w:t>
      </w:r>
    </w:p>
    <w:p>
      <w:pPr>
        <w:pStyle w:val="2"/>
      </w:pPr>
      <w:r>
        <w:drawing>
          <wp:anchor distT="0" distB="0" distL="114300" distR="114300" simplePos="0" relativeHeight="251661312" behindDoc="0" locked="0" layoutInCell="1" allowOverlap="1">
            <wp:simplePos x="0" y="0"/>
            <wp:positionH relativeFrom="column">
              <wp:posOffset>3215005</wp:posOffset>
            </wp:positionH>
            <wp:positionV relativeFrom="paragraph">
              <wp:posOffset>45720</wp:posOffset>
            </wp:positionV>
            <wp:extent cx="2795905" cy="1644015"/>
            <wp:effectExtent l="0" t="0" r="4445" b="13335"/>
            <wp:wrapSquare wrapText="bothSides"/>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6"/>
                    <a:stretch>
                      <a:fillRect/>
                    </a:stretch>
                  </pic:blipFill>
                  <pic:spPr>
                    <a:xfrm>
                      <a:off x="0" y="0"/>
                      <a:ext cx="2795905" cy="1644015"/>
                    </a:xfrm>
                    <a:prstGeom prst="rect">
                      <a:avLst/>
                    </a:prstGeom>
                    <a:noFill/>
                    <a:ln>
                      <a:noFill/>
                    </a:ln>
                  </pic:spPr>
                </pic:pic>
              </a:graphicData>
            </a:graphic>
          </wp:anchor>
        </w:drawing>
      </w:r>
      <w:r>
        <w:drawing>
          <wp:inline distT="0" distB="0" distL="114300" distR="114300">
            <wp:extent cx="3042920" cy="1675130"/>
            <wp:effectExtent l="0" t="0" r="5080" b="127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7"/>
                    <a:stretch>
                      <a:fillRect/>
                    </a:stretch>
                  </pic:blipFill>
                  <pic:spPr>
                    <a:xfrm>
                      <a:off x="0" y="0"/>
                      <a:ext cx="3042920" cy="1675130"/>
                    </a:xfrm>
                    <a:prstGeom prst="rect">
                      <a:avLst/>
                    </a:prstGeom>
                    <a:noFill/>
                    <a:ln>
                      <a:noFill/>
                    </a:ln>
                  </pic:spPr>
                </pic:pic>
              </a:graphicData>
            </a:graphic>
          </wp:inline>
        </w:drawing>
      </w:r>
    </w:p>
    <w:p>
      <w:pPr>
        <w:pStyle w:val="2"/>
        <w:rPr>
          <w:rFonts w:hint="eastAsia"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图</w:t>
      </w:r>
      <w:r>
        <w:rPr>
          <w:rFonts w:hint="eastAsia" w:ascii="Times New Roman" w:hAnsi="Times New Roman" w:eastAsia="宋体" w:cs="Times New Roman"/>
          <w:b w:val="0"/>
          <w:bCs w:val="0"/>
          <w:lang w:val="en-US" w:eastAsia="zh-CN"/>
        </w:rPr>
        <w:t>3</w:t>
      </w:r>
      <w:r>
        <w:rPr>
          <w:rFonts w:hint="default"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en-US" w:eastAsia="zh-CN"/>
        </w:rPr>
        <w:t xml:space="preserve">黄莎莎教师介绍课题年度研修计划               </w:t>
      </w:r>
      <w:r>
        <w:rPr>
          <w:rFonts w:hint="default" w:ascii="Times New Roman" w:hAnsi="Times New Roman" w:eastAsia="宋体" w:cs="Times New Roman"/>
          <w:b w:val="0"/>
          <w:bCs w:val="0"/>
          <w:lang w:val="en-US" w:eastAsia="zh-CN"/>
        </w:rPr>
        <w:t>图</w:t>
      </w:r>
      <w:r>
        <w:rPr>
          <w:rFonts w:hint="eastAsia" w:ascii="Times New Roman" w:hAnsi="Times New Roman" w:eastAsia="宋体" w:cs="Times New Roman"/>
          <w:b w:val="0"/>
          <w:bCs w:val="0"/>
          <w:lang w:val="en-US" w:eastAsia="zh-CN"/>
        </w:rPr>
        <w:t>4</w:t>
      </w:r>
      <w:r>
        <w:rPr>
          <w:rFonts w:hint="default"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en-US" w:eastAsia="zh-CN"/>
        </w:rPr>
        <w:t>杜艳霞教师进行专题讲座</w:t>
      </w:r>
    </w:p>
    <w:p>
      <w:pPr>
        <w:spacing w:line="400" w:lineRule="exact"/>
        <w:ind w:firstLine="420" w:firstLineChars="200"/>
        <w:rPr>
          <w:rFonts w:hint="default" w:ascii="宋体" w:hAnsi="宋体" w:eastAsia="宋体" w:cs="宋体"/>
          <w:color w:val="333333"/>
          <w:szCs w:val="21"/>
          <w:lang w:val="en-US" w:eastAsia="zh-CN"/>
        </w:rPr>
      </w:pPr>
      <w:r>
        <w:rPr>
          <w:rFonts w:hint="eastAsia" w:ascii="宋体" w:hAnsi="宋体" w:eastAsia="宋体" w:cs="宋体"/>
          <w:color w:val="333333"/>
          <w:szCs w:val="21"/>
          <w:lang w:val="en-US" w:eastAsia="zh-CN"/>
        </w:rPr>
        <w:t>其次由双流中学黄莎莎教师对工作室课题“基于深度学习的中学化学学历案”的年度研修计划进行介绍。本年度工作室全体成员继续团结合作对初中化学和新教材化学必修1和必修2的知识分章节进行学历案的编写设计，</w:t>
      </w:r>
      <w:r>
        <w:rPr>
          <w:rFonts w:hint="default" w:ascii="宋体" w:hAnsi="宋体" w:eastAsia="宋体" w:cs="宋体"/>
          <w:color w:val="333333"/>
          <w:szCs w:val="21"/>
          <w:lang w:val="en-US" w:eastAsia="zh-CN"/>
        </w:rPr>
        <w:t>撰写基于深度学习的中学化学学历案的设计研究相关论文，完善学历案的编写范式研究。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ascii="宋体" w:hAnsi="宋体" w:eastAsia="宋体" w:cs="宋体"/>
          <w:color w:val="333333"/>
          <w:szCs w:val="21"/>
          <w:lang w:val="en-US" w:eastAsia="zh-CN"/>
        </w:rPr>
        <w:t xml:space="preserve">紧接着杜艳霞老师开展讲座《基于深度学习的中学化学学历案学习过程的设计研究》，讲座重点介绍了学历案设计中课中学习的设计。学习过程是学历案的核心主体部分，也是学生普遍最关注的部分，其设计要有利于学习目标的达成，嵌入评价任务，体现学习进阶，且要有利于学习方式的变革。学习过程按照课前准备、课中学习、课后检测三步骤进行设计，为学生的学习搭建脚手架。 </w:t>
      </w:r>
    </w:p>
    <w:p>
      <w:pPr>
        <w:pStyle w:val="2"/>
        <w:ind w:firstLine="420" w:firstLineChars="200"/>
        <w:rPr>
          <w:rFonts w:hint="default" w:ascii="宋体" w:hAnsi="宋体" w:eastAsia="宋体" w:cs="宋体"/>
          <w:color w:val="333333"/>
          <w:szCs w:val="21"/>
          <w:lang w:val="en-US" w:eastAsia="zh-CN"/>
        </w:rPr>
      </w:pPr>
      <w:r>
        <w:drawing>
          <wp:anchor distT="0" distB="0" distL="114300" distR="114300" simplePos="0" relativeHeight="251660288" behindDoc="0" locked="0" layoutInCell="1" allowOverlap="1">
            <wp:simplePos x="0" y="0"/>
            <wp:positionH relativeFrom="column">
              <wp:posOffset>87630</wp:posOffset>
            </wp:positionH>
            <wp:positionV relativeFrom="paragraph">
              <wp:posOffset>69215</wp:posOffset>
            </wp:positionV>
            <wp:extent cx="3096260" cy="1724660"/>
            <wp:effectExtent l="0" t="0" r="8890" b="8890"/>
            <wp:wrapTopAndBottom/>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stretch>
                      <a:fillRect/>
                    </a:stretch>
                  </pic:blipFill>
                  <pic:spPr>
                    <a:xfrm>
                      <a:off x="0" y="0"/>
                      <a:ext cx="3096260" cy="1724660"/>
                    </a:xfrm>
                    <a:prstGeom prst="rect">
                      <a:avLst/>
                    </a:prstGeom>
                    <a:noFill/>
                    <a:ln>
                      <a:noFill/>
                    </a:ln>
                  </pic:spPr>
                </pic:pic>
              </a:graphicData>
            </a:graphic>
          </wp:anchor>
        </w:drawing>
      </w:r>
      <w:r>
        <w:rPr>
          <w:rFonts w:hint="default" w:ascii="Times New Roman" w:hAnsi="Times New Roman" w:eastAsia="宋体" w:cs="Times New Roman"/>
          <w:b w:val="0"/>
          <w:bCs w:val="0"/>
          <w:lang w:val="en-US" w:eastAsia="zh-CN"/>
        </w:rPr>
        <w:t>图</w:t>
      </w:r>
      <w:r>
        <w:rPr>
          <w:rFonts w:hint="eastAsia" w:ascii="Times New Roman" w:hAnsi="Times New Roman" w:eastAsia="宋体" w:cs="Times New Roman"/>
          <w:b w:val="0"/>
          <w:bCs w:val="0"/>
          <w:lang w:val="en-US" w:eastAsia="zh-CN"/>
        </w:rPr>
        <w:t>5</w:t>
      </w:r>
      <w:r>
        <w:rPr>
          <w:rFonts w:hint="default" w:ascii="Times New Roman" w:hAnsi="Times New Roman" w:eastAsia="宋体" w:cs="Times New Roman"/>
          <w:b w:val="0"/>
          <w:bCs w:val="0"/>
          <w:lang w:val="en-US" w:eastAsia="zh-CN"/>
        </w:rPr>
        <w:t xml:space="preserve"> </w:t>
      </w:r>
      <w:r>
        <w:rPr>
          <w:rFonts w:hint="eastAsia" w:ascii="Times New Roman" w:hAnsi="Times New Roman" w:eastAsia="宋体" w:cs="Times New Roman"/>
          <w:b w:val="0"/>
          <w:bCs w:val="0"/>
          <w:lang w:val="en-US" w:eastAsia="zh-CN"/>
        </w:rPr>
        <w:t>名师崔正淳解说工作室年度研修计划与方案</w:t>
      </w:r>
    </w:p>
    <w:p>
      <w:pPr>
        <w:spacing w:line="400" w:lineRule="exact"/>
        <w:ind w:firstLine="420" w:firstLineChars="200"/>
        <w:rPr>
          <w:rFonts w:hint="eastAsia" w:ascii="宋体" w:hAnsi="宋体" w:eastAsia="宋体" w:cs="宋体"/>
          <w:color w:val="333333"/>
          <w:szCs w:val="21"/>
        </w:rPr>
      </w:pPr>
      <w:r>
        <w:rPr>
          <w:rFonts w:hint="eastAsia" w:ascii="宋体" w:hAnsi="宋体" w:eastAsia="宋体" w:cs="宋体"/>
          <w:color w:val="333333"/>
          <w:szCs w:val="21"/>
          <w:lang w:val="en-US" w:eastAsia="zh-CN"/>
        </w:rPr>
        <w:t>最后名师崔正淳为工作室成员解说了本年度工作室的项目研修计划。工作室全体成员坚持理论知识学习，提高“教学评一致性”理论素养。研究如何构建“问题解决学化学”的课型。通过专题讲座、研究课、评课活动、案例反思和论文撰写来开展研究活动，鼓励工作室老师积极开展课题讲座活动,参加各级教科院等组织的赛课活动,力争获奖,提升教育科研课题的研究能力,课堂实施深度学习和“教-学-评”一致性的能力。</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czZDc0OWJhYTFlZjliZWQwZjJlZTc5ZjRjZjZmNTkifQ=="/>
  </w:docVars>
  <w:rsids>
    <w:rsidRoot w:val="00491C9B"/>
    <w:rsid w:val="000E7B08"/>
    <w:rsid w:val="003706C7"/>
    <w:rsid w:val="00491C9B"/>
    <w:rsid w:val="005B1BBC"/>
    <w:rsid w:val="007134E2"/>
    <w:rsid w:val="007969B3"/>
    <w:rsid w:val="008740EA"/>
    <w:rsid w:val="00A25040"/>
    <w:rsid w:val="00A81B48"/>
    <w:rsid w:val="00AB4529"/>
    <w:rsid w:val="00BB1509"/>
    <w:rsid w:val="00F06EFA"/>
    <w:rsid w:val="00FB53FE"/>
    <w:rsid w:val="122D55EB"/>
    <w:rsid w:val="1726317C"/>
    <w:rsid w:val="291E63FE"/>
    <w:rsid w:val="2DB15E0A"/>
    <w:rsid w:val="36CB6BD2"/>
    <w:rsid w:val="43EE1020"/>
    <w:rsid w:val="59691690"/>
    <w:rsid w:val="59B21A73"/>
    <w:rsid w:val="5FAC27DA"/>
    <w:rsid w:val="627C183B"/>
    <w:rsid w:val="63644033"/>
    <w:rsid w:val="63F42F8A"/>
    <w:rsid w:val="67615B05"/>
    <w:rsid w:val="71BD3999"/>
    <w:rsid w:val="782B27E2"/>
    <w:rsid w:val="789E26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spacing w:after="120"/>
    </w:pPr>
  </w:style>
  <w:style w:type="paragraph" w:styleId="3">
    <w:name w:val="Balloon Text"/>
    <w:basedOn w:val="1"/>
    <w:link w:val="12"/>
    <w:semiHidden/>
    <w:unhideWhenUsed/>
    <w:qFormat/>
    <w:uiPriority w:val="99"/>
    <w:rPr>
      <w:sz w:val="18"/>
      <w:szCs w:val="18"/>
    </w:rPr>
  </w:style>
  <w:style w:type="paragraph" w:styleId="4">
    <w:name w:val="footer"/>
    <w:basedOn w:val="1"/>
    <w:link w:val="11"/>
    <w:unhideWhenUsed/>
    <w:qFormat/>
    <w:uiPriority w:val="99"/>
    <w:pPr>
      <w:tabs>
        <w:tab w:val="center" w:pos="4153"/>
        <w:tab w:val="right" w:pos="8306"/>
      </w:tabs>
      <w:snapToGrid w:val="0"/>
      <w:jc w:val="left"/>
    </w:pPr>
    <w:rPr>
      <w:sz w:val="18"/>
      <w:szCs w:val="18"/>
    </w:rPr>
  </w:style>
  <w:style w:type="paragraph" w:styleId="5">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customStyle="1" w:styleId="9">
    <w:name w:val="Char Char Char Char Char Char Char Char Char Char Char Char Char Char Char Char Char Char Char"/>
    <w:basedOn w:val="1"/>
    <w:qFormat/>
    <w:uiPriority w:val="0"/>
    <w:pPr>
      <w:widowControl/>
      <w:adjustRightInd w:val="0"/>
      <w:spacing w:line="300" w:lineRule="auto"/>
      <w:ind w:firstLine="200" w:firstLineChars="200"/>
      <w:textAlignment w:val="baseline"/>
    </w:pPr>
    <w:rPr>
      <w:rFonts w:ascii="Verdana" w:hAnsi="Verdana" w:eastAsia="宋体" w:cs="Times New Roman"/>
      <w:kern w:val="0"/>
      <w:szCs w:val="20"/>
      <w:lang w:eastAsia="en-US"/>
    </w:rPr>
  </w:style>
  <w:style w:type="character" w:customStyle="1" w:styleId="10">
    <w:name w:val="页眉 Char"/>
    <w:basedOn w:val="8"/>
    <w:link w:val="5"/>
    <w:qFormat/>
    <w:uiPriority w:val="99"/>
    <w:rPr>
      <w:sz w:val="18"/>
      <w:szCs w:val="18"/>
    </w:rPr>
  </w:style>
  <w:style w:type="character" w:customStyle="1" w:styleId="11">
    <w:name w:val="页脚 Char"/>
    <w:basedOn w:val="8"/>
    <w:link w:val="4"/>
    <w:qFormat/>
    <w:uiPriority w:val="99"/>
    <w:rPr>
      <w:sz w:val="18"/>
      <w:szCs w:val="18"/>
    </w:rPr>
  </w:style>
  <w:style w:type="character" w:customStyle="1" w:styleId="12">
    <w:name w:val="批注框文本 Char"/>
    <w:basedOn w:val="8"/>
    <w:link w:val="3"/>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Pages>
  <Words>1006</Words>
  <Characters>1018</Characters>
  <Lines>3</Lines>
  <Paragraphs>1</Paragraphs>
  <TotalTime>2</TotalTime>
  <ScaleCrop>false</ScaleCrop>
  <LinksUpToDate>false</LinksUpToDate>
  <CharactersWithSpaces>1052</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2022-02-25T11:00:00Z</dcterms:created>
  <dc:creator>he min</dc:creator>
  <cp:lastModifiedBy>昭萌</cp:lastModifiedBy>
  <dcterms:modified xsi:type="dcterms:W3CDTF">2022-09-22T16:09:52Z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4727A9F1B3304F459674B182AA9EFB51</vt:lpwstr>
  </property>
</Properties>
</file>