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校级  微电影制作”最佳配角“（杨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校级  微电影制作”最佳配角“（杨潘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85870"/>
            <wp:effectExtent l="0" t="0" r="5080" b="5080"/>
            <wp:docPr id="2" name="图片 2" descr="校级  三八红旗手23.03（杨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级  三八红旗手23.03（杨潘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51885"/>
            <wp:effectExtent l="0" t="0" r="5080" b="5715"/>
            <wp:docPr id="3" name="图片 3" descr="四川省优秀艺术特长生大赛 优秀指导奖23.03（杨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四川省优秀艺术特长生大赛 优秀指导奖23.03（杨潘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44595"/>
            <wp:effectExtent l="0" t="0" r="10160" b="8255"/>
            <wp:docPr id="4" name="图片 4" descr="双流区首届义务段音乐教师教材歌曲弹唱比赛低段组  二等奖22.06（杨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双流区首届义务段音乐教师教材歌曲弹唱比赛低段组  二等奖22.06（杨潘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双流区第五届中小学音乐教师课堂器乐重奏比赛  一等奖 23.04（杨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双流区第五届中小学音乐教师课堂器乐重奏比赛  一等奖 23.04（杨潘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6620"/>
            <wp:effectExtent l="0" t="0" r="10160" b="11430"/>
            <wp:docPr id="6" name="图片 6" descr="双流区第五届中小学音乐教师课堂乐器独奏比赛 三等奖 23.04（杨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双流区第五届中小学音乐教师课堂乐器独奏比赛 三等奖 23.04（杨潘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双流区第八届青少年儿童（学生）操舞比赛  优秀教练员22.11（杨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双流区第八届青少年儿童（学生）操舞比赛  优秀教练员22.11（杨潘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898900"/>
            <wp:effectExtent l="0" t="0" r="2540" b="6350"/>
            <wp:docPr id="8" name="图片 8" descr="论文证书 22.08（杨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论文证书 22.08（杨潘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44410"/>
            <wp:effectExtent l="0" t="0" r="10160" b="8890"/>
            <wp:docPr id="9" name="图片 9" descr="2023天府少儿新春文艺大联欢  优秀指导教师23.01（杨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天府少儿新春文艺大联欢  优秀指导教师23.01（杨潘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22AB4775"/>
    <w:rsid w:val="5581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2023-04-25T16:09:01Z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F98B842F0F0F4A3EA7D072CA5BC84459</vt:lpwstr>
  </property>
</Properties>
</file>