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64" w:firstLineChars="300"/>
        <w:jc w:val="center"/>
        <w:rPr>
          <w:rFonts w:hint="default" w:ascii="黑体" w:hAnsi="黑体" w:eastAsia="黑体" w:cs="宋体"/>
          <w:b/>
          <w:bCs/>
          <w:sz w:val="32"/>
          <w:szCs w:val="32"/>
          <w:lang w:val="en-US" w:eastAsia="zh-CN"/>
        </w:rPr>
      </w:pPr>
      <w:r>
        <w:rPr>
          <w:rFonts w:hint="eastAsia" w:ascii="黑体" w:hAnsi="黑体" w:eastAsia="黑体" w:cs="宋体"/>
          <w:b/>
          <w:bCs/>
          <w:sz w:val="32"/>
          <w:szCs w:val="32"/>
          <w:lang w:val="en-US" w:eastAsia="zh-CN"/>
        </w:rPr>
        <w:t>研讨交流共成长，实践经验助初三</w:t>
      </w:r>
    </w:p>
    <w:p>
      <w:pPr>
        <w:ind w:firstLine="3120" w:firstLineChars="1300"/>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rPr>
        <w:t>双流区名教师廖洪森工作室</w:t>
      </w:r>
      <w:r>
        <w:rPr>
          <w:rFonts w:hint="eastAsia" w:ascii="宋体" w:hAnsi="宋体" w:eastAsia="宋体" w:cs="宋体"/>
          <w:sz w:val="24"/>
          <w:lang w:val="en-US" w:eastAsia="zh-CN"/>
        </w:rPr>
        <w:t>研修活动</w:t>
      </w:r>
      <w:r>
        <w:rPr>
          <w:rFonts w:hint="eastAsia" w:ascii="宋体" w:hAnsi="宋体" w:eastAsia="宋体" w:cs="宋体"/>
          <w:sz w:val="24"/>
          <w:lang w:eastAsia="zh-CN"/>
        </w:rPr>
        <w:t>纪实</w:t>
      </w:r>
    </w:p>
    <w:p>
      <w:pPr>
        <w:jc w:val="left"/>
        <w:rPr>
          <w:rFonts w:ascii="宋体" w:hAnsi="宋体" w:eastAsia="宋体" w:cs="宋体"/>
          <w:sz w:val="24"/>
        </w:rPr>
      </w:pPr>
      <w:r>
        <w:rPr>
          <w:rFonts w:ascii="宋体" w:hAnsi="宋体" w:eastAsia="宋体" w:cs="宋体"/>
          <w:b/>
          <w:bCs/>
          <w:sz w:val="28"/>
          <w:szCs w:val="28"/>
        </w:rPr>
        <w:t>活动时间</w:t>
      </w:r>
      <w:r>
        <w:rPr>
          <w:rFonts w:hint="eastAsia" w:ascii="宋体" w:hAnsi="宋体" w:eastAsia="宋体" w:cs="宋体"/>
          <w:sz w:val="24"/>
        </w:rPr>
        <w:t>：</w:t>
      </w:r>
      <w:r>
        <w:rPr>
          <w:rFonts w:ascii="宋体" w:hAnsi="宋体" w:eastAsia="宋体" w:cs="宋体"/>
          <w:sz w:val="28"/>
          <w:szCs w:val="28"/>
        </w:rPr>
        <w:t>202</w:t>
      </w:r>
      <w:r>
        <w:rPr>
          <w:rFonts w:hint="eastAsia" w:ascii="宋体" w:hAnsi="宋体" w:eastAsia="宋体" w:cs="宋体"/>
          <w:sz w:val="28"/>
          <w:szCs w:val="28"/>
          <w:lang w:val="en-US" w:eastAsia="zh-CN"/>
        </w:rPr>
        <w:t>3</w:t>
      </w:r>
      <w:r>
        <w:rPr>
          <w:rFonts w:ascii="宋体" w:hAnsi="宋体" w:eastAsia="宋体" w:cs="宋体"/>
          <w:sz w:val="28"/>
          <w:szCs w:val="28"/>
        </w:rPr>
        <w:t>年</w:t>
      </w:r>
      <w:r>
        <w:rPr>
          <w:rFonts w:hint="eastAsia" w:ascii="宋体" w:hAnsi="宋体" w:eastAsia="宋体" w:cs="宋体"/>
          <w:sz w:val="28"/>
          <w:szCs w:val="28"/>
          <w:lang w:val="en-US" w:eastAsia="zh-CN"/>
        </w:rPr>
        <w:t>09</w:t>
      </w:r>
      <w:r>
        <w:rPr>
          <w:rFonts w:ascii="宋体" w:hAnsi="宋体" w:eastAsia="宋体" w:cs="宋体"/>
          <w:sz w:val="28"/>
          <w:szCs w:val="28"/>
        </w:rPr>
        <w:t>月</w:t>
      </w:r>
      <w:r>
        <w:rPr>
          <w:rFonts w:hint="eastAsia" w:ascii="宋体" w:hAnsi="宋体" w:eastAsia="宋体" w:cs="宋体"/>
          <w:sz w:val="28"/>
          <w:szCs w:val="28"/>
          <w:lang w:val="en-US" w:eastAsia="zh-CN"/>
        </w:rPr>
        <w:t>15</w:t>
      </w:r>
      <w:r>
        <w:rPr>
          <w:rFonts w:ascii="宋体" w:hAnsi="宋体" w:eastAsia="宋体" w:cs="宋体"/>
          <w:sz w:val="28"/>
          <w:szCs w:val="28"/>
        </w:rPr>
        <w:t>日</w:t>
      </w:r>
    </w:p>
    <w:p>
      <w:pPr>
        <w:jc w:val="left"/>
        <w:rPr>
          <w:rFonts w:hint="default" w:ascii="宋体" w:hAnsi="宋体" w:eastAsia="宋体" w:cs="宋体"/>
          <w:sz w:val="28"/>
          <w:szCs w:val="28"/>
          <w:lang w:val="en-US" w:eastAsia="zh-CN"/>
        </w:rPr>
      </w:pPr>
      <w:r>
        <w:rPr>
          <w:rFonts w:ascii="宋体" w:hAnsi="宋体" w:eastAsia="宋体" w:cs="宋体"/>
          <w:b/>
          <w:bCs/>
          <w:sz w:val="28"/>
          <w:szCs w:val="28"/>
        </w:rPr>
        <w:t>活动方式</w:t>
      </w:r>
      <w:r>
        <w:rPr>
          <w:rFonts w:hint="eastAsia" w:ascii="宋体" w:hAnsi="宋体" w:eastAsia="宋体" w:cs="宋体"/>
          <w:b/>
          <w:bCs/>
          <w:sz w:val="28"/>
          <w:szCs w:val="28"/>
        </w:rPr>
        <w:t>：</w:t>
      </w:r>
      <w:r>
        <w:rPr>
          <w:rFonts w:hint="eastAsia" w:ascii="宋体" w:hAnsi="宋体" w:eastAsia="宋体" w:cs="宋体"/>
          <w:sz w:val="28"/>
          <w:szCs w:val="28"/>
          <w:lang w:val="en-US" w:eastAsia="zh-CN"/>
        </w:rPr>
        <w:t xml:space="preserve">成都芯谷实验学校 </w:t>
      </w:r>
      <w:r>
        <w:rPr>
          <w:rFonts w:ascii="宋体" w:hAnsi="宋体" w:eastAsia="宋体" w:cs="宋体"/>
          <w:sz w:val="28"/>
          <w:szCs w:val="28"/>
        </w:rPr>
        <w:t>线下研修</w:t>
      </w:r>
    </w:p>
    <w:p>
      <w:pPr>
        <w:jc w:val="left"/>
        <w:rPr>
          <w:rFonts w:hint="eastAsia" w:ascii="宋体" w:hAnsi="宋体" w:eastAsia="宋体" w:cs="宋体"/>
          <w:sz w:val="28"/>
          <w:szCs w:val="28"/>
          <w:lang w:eastAsia="zh-CN"/>
        </w:rPr>
      </w:pPr>
      <w:r>
        <w:rPr>
          <w:rFonts w:ascii="宋体" w:hAnsi="宋体" w:eastAsia="宋体" w:cs="宋体"/>
          <w:b/>
          <w:bCs/>
          <w:sz w:val="28"/>
          <w:szCs w:val="28"/>
        </w:rPr>
        <w:t>参加人</w:t>
      </w:r>
      <w:r>
        <w:rPr>
          <w:rFonts w:hint="eastAsia" w:ascii="宋体" w:hAnsi="宋体" w:eastAsia="宋体" w:cs="宋体"/>
          <w:b/>
          <w:bCs/>
          <w:sz w:val="28"/>
          <w:szCs w:val="28"/>
        </w:rPr>
        <w:t>员：</w:t>
      </w:r>
      <w:r>
        <w:rPr>
          <w:rFonts w:hint="eastAsia" w:ascii="宋体" w:hAnsi="宋体" w:eastAsia="宋体" w:cs="宋体"/>
          <w:sz w:val="28"/>
          <w:szCs w:val="28"/>
        </w:rPr>
        <w:t>第十期工作室成员</w:t>
      </w:r>
    </w:p>
    <w:p>
      <w:pPr>
        <w:rPr>
          <w:rFonts w:hint="eastAsia" w:ascii="宋体" w:hAnsi="宋体" w:eastAsia="宋体" w:cs="宋体"/>
          <w:b w:val="0"/>
          <w:bCs w:val="0"/>
          <w:sz w:val="28"/>
          <w:szCs w:val="28"/>
          <w:lang w:eastAsia="zh-CN"/>
        </w:rPr>
      </w:pPr>
      <w:r>
        <w:rPr>
          <w:rFonts w:ascii="宋体" w:hAnsi="宋体" w:eastAsia="宋体" w:cs="宋体"/>
          <w:b/>
          <w:bCs/>
          <w:sz w:val="28"/>
          <w:szCs w:val="28"/>
        </w:rPr>
        <w:t>活动主题</w:t>
      </w:r>
      <w:r>
        <w:rPr>
          <w:rFonts w:hint="eastAsia" w:ascii="宋体" w:hAnsi="宋体" w:eastAsia="宋体" w:cs="宋体"/>
          <w:b/>
          <w:bCs/>
          <w:sz w:val="28"/>
          <w:szCs w:val="28"/>
        </w:rPr>
        <w:t>：</w:t>
      </w:r>
      <w:r>
        <w:rPr>
          <w:rFonts w:hint="eastAsia" w:ascii="宋体" w:hAnsi="宋体" w:eastAsia="宋体" w:cs="宋体"/>
          <w:b w:val="0"/>
          <w:bCs w:val="0"/>
          <w:sz w:val="28"/>
          <w:szCs w:val="28"/>
          <w:lang w:eastAsia="zh-CN"/>
        </w:rPr>
        <w:t>成都市九年级道德与法治研讨会（南片区）</w:t>
      </w:r>
    </w:p>
    <w:p>
      <w:pPr>
        <w:rPr>
          <w:rFonts w:hint="eastAsia" w:ascii="宋体" w:hAnsi="宋体" w:eastAsia="宋体" w:cs="宋体"/>
          <w:sz w:val="28"/>
          <w:szCs w:val="28"/>
          <w:lang w:val="en-US" w:eastAsia="zh-CN"/>
        </w:rPr>
      </w:pPr>
      <w:r>
        <w:rPr>
          <w:rFonts w:ascii="宋体" w:hAnsi="宋体" w:eastAsia="宋体" w:cs="宋体"/>
          <w:b/>
          <w:bCs/>
          <w:sz w:val="28"/>
          <w:szCs w:val="28"/>
        </w:rPr>
        <w:t>活动内容</w:t>
      </w:r>
      <w:r>
        <w:rPr>
          <w:rFonts w:hint="eastAsia" w:ascii="宋体" w:hAnsi="宋体" w:eastAsia="宋体" w:cs="宋体"/>
          <w:b/>
          <w:bCs/>
          <w:sz w:val="32"/>
          <w:szCs w:val="32"/>
        </w:rPr>
        <w:t>：</w:t>
      </w:r>
      <w:r>
        <w:rPr>
          <w:rFonts w:ascii="宋体" w:hAnsi="宋体" w:eastAsia="宋体" w:cs="宋体"/>
          <w:sz w:val="28"/>
          <w:szCs w:val="28"/>
        </w:rPr>
        <w:t>202</w:t>
      </w:r>
      <w:r>
        <w:rPr>
          <w:rFonts w:hint="eastAsia" w:ascii="宋体" w:hAnsi="宋体" w:eastAsia="宋体" w:cs="宋体"/>
          <w:sz w:val="28"/>
          <w:szCs w:val="28"/>
          <w:lang w:val="en-US" w:eastAsia="zh-CN"/>
        </w:rPr>
        <w:t>3</w:t>
      </w:r>
      <w:r>
        <w:rPr>
          <w:rFonts w:ascii="宋体" w:hAnsi="宋体" w:eastAsia="宋体" w:cs="宋体"/>
          <w:sz w:val="28"/>
          <w:szCs w:val="28"/>
        </w:rPr>
        <w:t>年</w:t>
      </w:r>
      <w:r>
        <w:rPr>
          <w:rFonts w:hint="eastAsia" w:ascii="宋体" w:hAnsi="宋体" w:eastAsia="宋体" w:cs="宋体"/>
          <w:sz w:val="28"/>
          <w:szCs w:val="28"/>
          <w:lang w:val="en-US" w:eastAsia="zh-CN"/>
        </w:rPr>
        <w:t>9</w:t>
      </w:r>
      <w:r>
        <w:rPr>
          <w:rFonts w:ascii="宋体" w:hAnsi="宋体" w:eastAsia="宋体" w:cs="宋体"/>
          <w:sz w:val="28"/>
          <w:szCs w:val="28"/>
        </w:rPr>
        <w:t>月</w:t>
      </w:r>
      <w:r>
        <w:rPr>
          <w:rFonts w:hint="eastAsia" w:ascii="宋体" w:hAnsi="宋体" w:eastAsia="宋体" w:cs="宋体"/>
          <w:sz w:val="28"/>
          <w:szCs w:val="28"/>
          <w:lang w:val="en-US" w:eastAsia="zh-CN"/>
        </w:rPr>
        <w:t>15</w:t>
      </w:r>
      <w:r>
        <w:rPr>
          <w:rFonts w:ascii="宋体" w:hAnsi="宋体" w:eastAsia="宋体" w:cs="宋体"/>
          <w:sz w:val="28"/>
          <w:szCs w:val="28"/>
        </w:rPr>
        <w:t>日</w:t>
      </w:r>
      <w:r>
        <w:rPr>
          <w:rFonts w:hint="eastAsia" w:ascii="宋体" w:hAnsi="宋体" w:eastAsia="宋体" w:cs="宋体"/>
          <w:sz w:val="28"/>
          <w:szCs w:val="28"/>
          <w:lang w:eastAsia="zh-CN"/>
        </w:rPr>
        <w:t>上午</w:t>
      </w:r>
      <w:r>
        <w:rPr>
          <w:rFonts w:hint="eastAsia" w:ascii="宋体" w:hAnsi="宋体" w:eastAsia="宋体" w:cs="宋体"/>
          <w:sz w:val="28"/>
          <w:szCs w:val="28"/>
          <w:lang w:val="en-US" w:eastAsia="zh-CN"/>
        </w:rPr>
        <w:t>9点，</w:t>
      </w:r>
      <w:bookmarkStart w:id="0" w:name="_GoBack"/>
      <w:bookmarkEnd w:id="0"/>
      <w:r>
        <w:rPr>
          <w:rFonts w:ascii="宋体" w:hAnsi="宋体" w:eastAsia="宋体" w:cs="宋体"/>
          <w:sz w:val="28"/>
          <w:szCs w:val="28"/>
        </w:rPr>
        <w:t>工作室全体成员齐聚</w:t>
      </w:r>
      <w:r>
        <w:rPr>
          <w:rFonts w:hint="eastAsia" w:ascii="宋体" w:hAnsi="宋体" w:eastAsia="宋体" w:cs="宋体"/>
          <w:sz w:val="28"/>
          <w:szCs w:val="28"/>
          <w:lang w:val="en-US" w:eastAsia="zh-CN"/>
        </w:rPr>
        <w:t>成都芯谷实验学校</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本次研讨活动主要由两位优秀教师作九年级教学及复习经验分享。</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drawing>
          <wp:inline distT="0" distB="0" distL="114300" distR="114300">
            <wp:extent cx="5242560" cy="2850515"/>
            <wp:effectExtent l="0" t="0" r="15240" b="6985"/>
            <wp:docPr id="1" name="图片 1" descr="a26b2c6fe93924372a87bdec7856d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26b2c6fe93924372a87bdec7856d4c"/>
                    <pic:cNvPicPr>
                      <a:picLocks noChangeAspect="1"/>
                    </pic:cNvPicPr>
                  </pic:nvPicPr>
                  <pic:blipFill>
                    <a:blip r:embed="rId4"/>
                    <a:srcRect t="32101" r="6811" b="12361"/>
                    <a:stretch>
                      <a:fillRect/>
                    </a:stretch>
                  </pic:blipFill>
                  <pic:spPr>
                    <a:xfrm>
                      <a:off x="0" y="0"/>
                      <a:ext cx="5242560" cy="2850515"/>
                    </a:xfrm>
                    <a:prstGeom prst="rect">
                      <a:avLst/>
                    </a:prstGeom>
                  </pic:spPr>
                </pic:pic>
              </a:graphicData>
            </a:graphic>
          </wp:inline>
        </w:drawing>
      </w:r>
    </w:p>
    <w:p>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研讨会第一部分分享者是成都市锦江区嘉祥外国语学校的杨宇老师，她分享的主题是《从命题逻辑的视角，体会中考命题的走势—2023年成都市初中道德与法治中考试卷分析》。她以成都市2023年会考真题入手，探讨成都市近几年客观题、主观题设计背后所展现的考察角度以及所体现的考察思想，客观题主要考察知识、价值、素养、能力四个方面，而主观题则考察教材和材料相结合、意义升华类、经验积累型。最后，杨老师分享广大初三教师如何紧跟中考命题趋势，从学生的困难入手，帮助学生更好进行初三备考。</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drawing>
          <wp:inline distT="0" distB="0" distL="114300" distR="114300">
            <wp:extent cx="5267960" cy="2680335"/>
            <wp:effectExtent l="0" t="0" r="8890" b="5715"/>
            <wp:docPr id="2" name="图片 2" descr="f64d80dae19085d3e3c12374897b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64d80dae19085d3e3c12374897b023"/>
                    <pic:cNvPicPr>
                      <a:picLocks noChangeAspect="1"/>
                    </pic:cNvPicPr>
                  </pic:nvPicPr>
                  <pic:blipFill>
                    <a:blip r:embed="rId5"/>
                    <a:srcRect t="35814" r="4159" b="9822"/>
                    <a:stretch>
                      <a:fillRect/>
                    </a:stretch>
                  </pic:blipFill>
                  <pic:spPr>
                    <a:xfrm>
                      <a:off x="0" y="0"/>
                      <a:ext cx="5267960" cy="2680335"/>
                    </a:xfrm>
                    <a:prstGeom prst="rect">
                      <a:avLst/>
                    </a:prstGeom>
                  </pic:spPr>
                </pic:pic>
              </a:graphicData>
            </a:graphic>
          </wp:inline>
        </w:drawing>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drawing>
          <wp:inline distT="0" distB="0" distL="114300" distR="114300">
            <wp:extent cx="5241925" cy="2459355"/>
            <wp:effectExtent l="0" t="0" r="15875" b="17145"/>
            <wp:docPr id="3" name="图片 3" descr="37f26bac87e501c6c73982f4ae7e3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7f26bac87e501c6c73982f4ae7e3f3"/>
                    <pic:cNvPicPr>
                      <a:picLocks noChangeAspect="1"/>
                    </pic:cNvPicPr>
                  </pic:nvPicPr>
                  <pic:blipFill>
                    <a:blip r:embed="rId6"/>
                    <a:srcRect l="5316" t="39538" r="16321" b="18647"/>
                    <a:stretch>
                      <a:fillRect/>
                    </a:stretch>
                  </pic:blipFill>
                  <pic:spPr>
                    <a:xfrm>
                      <a:off x="0" y="0"/>
                      <a:ext cx="5241925" cy="2459355"/>
                    </a:xfrm>
                    <a:prstGeom prst="rect">
                      <a:avLst/>
                    </a:prstGeom>
                  </pic:spPr>
                </pic:pic>
              </a:graphicData>
            </a:graphic>
          </wp:inline>
        </w:drawing>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研讨会第二部分分享者是天府七中的王树理老师，他分享的主题是《基于成都市道德与法治中考开卷考试命题逻辑的复习经验》。他从成都中考命题逻辑的感受、适应中考要求的对策选择、实施中考复习规划的经验三个部分分享了初三备考的经验和流程，其中该校在中考复习过程中的时间安排和丰富的复习策略带给初三老师更多帮助。</w:t>
      </w:r>
      <w:r>
        <w:rPr>
          <w:rFonts w:hint="eastAsia" w:ascii="宋体" w:hAnsi="宋体" w:eastAsia="宋体" w:cs="宋体"/>
          <w:sz w:val="28"/>
          <w:szCs w:val="28"/>
          <w:lang w:val="en-US" w:eastAsia="zh-CN"/>
        </w:rPr>
        <w:drawing>
          <wp:inline distT="0" distB="0" distL="114300" distR="114300">
            <wp:extent cx="5267960" cy="2406650"/>
            <wp:effectExtent l="0" t="0" r="8890" b="12700"/>
            <wp:docPr id="4" name="图片 4" descr="6d111d29f25194d2540aa4fb9a7a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d111d29f25194d2540aa4fb9a7a934"/>
                    <pic:cNvPicPr>
                      <a:picLocks noChangeAspect="1"/>
                    </pic:cNvPicPr>
                  </pic:nvPicPr>
                  <pic:blipFill>
                    <a:blip r:embed="rId7"/>
                    <a:srcRect t="32342"/>
                    <a:stretch>
                      <a:fillRect/>
                    </a:stretch>
                  </pic:blipFill>
                  <pic:spPr>
                    <a:xfrm>
                      <a:off x="0" y="0"/>
                      <a:ext cx="5267960" cy="2406650"/>
                    </a:xfrm>
                    <a:prstGeom prst="rect">
                      <a:avLst/>
                    </a:prstGeom>
                  </pic:spPr>
                </pic:pic>
              </a:graphicData>
            </a:graphic>
          </wp:inline>
        </w:drawing>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drawing>
          <wp:inline distT="0" distB="0" distL="114300" distR="114300">
            <wp:extent cx="5296535" cy="2164080"/>
            <wp:effectExtent l="0" t="0" r="18415" b="7620"/>
            <wp:docPr id="5" name="图片 5" descr="4a62b0bc1fcb26836f401d8b71f36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a62b0bc1fcb26836f401d8b71f36c0"/>
                    <pic:cNvPicPr>
                      <a:picLocks noChangeAspect="1"/>
                    </pic:cNvPicPr>
                  </pic:nvPicPr>
                  <pic:blipFill>
                    <a:blip r:embed="rId8"/>
                    <a:srcRect t="34850"/>
                    <a:stretch>
                      <a:fillRect/>
                    </a:stretch>
                  </pic:blipFill>
                  <pic:spPr>
                    <a:xfrm>
                      <a:off x="0" y="0"/>
                      <a:ext cx="5296535" cy="2164080"/>
                    </a:xfrm>
                    <a:prstGeom prst="rect">
                      <a:avLst/>
                    </a:prstGeom>
                  </pic:spPr>
                </pic:pic>
              </a:graphicData>
            </a:graphic>
          </wp:inline>
        </w:drawing>
      </w:r>
    </w:p>
    <w:p>
      <w:pPr>
        <w:rPr>
          <w:rFonts w:hint="eastAsia" w:ascii="宋体" w:hAnsi="宋体" w:eastAsia="宋体" w:cs="宋体"/>
          <w:sz w:val="28"/>
          <w:szCs w:val="28"/>
          <w:lang w:val="en-US" w:eastAsia="zh-CN"/>
        </w:rPr>
      </w:pPr>
    </w:p>
    <w:p>
      <w:pPr>
        <w:pStyle w:val="4"/>
        <w:spacing w:before="16" w:line="600" w:lineRule="exact"/>
        <w:ind w:left="107" w:right="39"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最后，成都市教研员吴登良老师就本次研讨会进行了总结交流，他肯定了大家今天的南片区政治教师的教研热情，说明了明年道德与法治的会考命题方向，对参会的各位老师表达了美好的祝愿。</w:t>
      </w:r>
    </w:p>
    <w:p>
      <w:pPr>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今天这次集体教研带给工作室全体成员丰富的实际操作经验，为初三年级的教学和复习指明方向，相信全体成员在本次学习中能够不断提升自我，在明年会考中取得较好的成绩。</w:t>
      </w:r>
    </w:p>
    <w:p>
      <w:pPr>
        <w:rPr>
          <w:rFonts w:hint="eastAsia"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4NTY4MDc1OGVhMmRhNzAzYTBhNzI1MjgwMDUzOTcifQ=="/>
  </w:docVars>
  <w:rsids>
    <w:rsidRoot w:val="00000000"/>
    <w:rsid w:val="029A181D"/>
    <w:rsid w:val="08F06E13"/>
    <w:rsid w:val="093F343F"/>
    <w:rsid w:val="094C223F"/>
    <w:rsid w:val="0EEC5176"/>
    <w:rsid w:val="0F326B33"/>
    <w:rsid w:val="0F463097"/>
    <w:rsid w:val="164F35E8"/>
    <w:rsid w:val="1F2E38E2"/>
    <w:rsid w:val="23570845"/>
    <w:rsid w:val="23910C62"/>
    <w:rsid w:val="391138BB"/>
    <w:rsid w:val="40BE01CA"/>
    <w:rsid w:val="547F2A2C"/>
    <w:rsid w:val="5813530C"/>
    <w:rsid w:val="7A817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Paragraph"/>
    <w:basedOn w:val="1"/>
    <w:qFormat/>
    <w:uiPriority w:val="1"/>
    <w:rPr>
      <w:rFonts w:ascii="楷体" w:hAnsi="楷体" w:eastAsia="楷体" w:cs="楷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2022-01-06T01:11:00Z</dcterms:created>
  <dc:creator>admin</dc:creator>
  <cp:lastModifiedBy>Naomi</cp:lastModifiedBy>
  <dcterms:modified xsi:type="dcterms:W3CDTF">2023-09-18T03:11:20Z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8325ED1053CE4A01B44D7BFFA8517B65_13</vt:lpwstr>
  </property>
</Properties>
</file>