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聚焦课标新视角，探索提问有效性</w:t>
      </w:r>
    </w:p>
    <w:p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——双流区名师夏加强工作室送教活动</w:t>
      </w:r>
    </w:p>
    <w:p>
      <w:pPr>
        <w:spacing w:line="360" w:lineRule="auto"/>
        <w:jc w:val="right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四川大学西航港实验小学 戴铠西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最美金秋十月天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，名师携手研意浓。2023年10月24日（星期二），双流区名师夏加强工作室全体成员齐聚四川大学西航港实验小学，开展双流区名师夏加强工作室送教活动。本次活动的主题为“基于教学评一致的小学班级合唱教学策略研究”。本次活动共分为课例展示、评课议课、名师讲座三个环节。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drawing>
          <wp:inline distT="0" distB="0" distL="114300" distR="114300">
            <wp:extent cx="1642110" cy="1095375"/>
            <wp:effectExtent l="9525" t="9525" r="12065" b="12700"/>
            <wp:docPr id="1" name="图片 1" descr="D:/10.23双流区名师夏加强工作室送教活动简讯/微信图片_20231024204432.jpg微信图片_2023102420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10.23双流区名师夏加强工作室送教活动简讯/微信图片_20231024204432.jpg微信图片_20231024204432"/>
                    <pic:cNvPicPr>
                      <a:picLocks noChangeAspect="1"/>
                    </pic:cNvPicPr>
                  </pic:nvPicPr>
                  <pic:blipFill>
                    <a:blip r:embed="rId4"/>
                    <a:srcRect l="58" r="58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095375"/>
                    </a:xfrm>
                    <a:prstGeom prst="flowChartAlternateProcess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drawing>
          <wp:inline distT="0" distB="0" distL="114300" distR="114300">
            <wp:extent cx="1642110" cy="1095375"/>
            <wp:effectExtent l="9525" t="9525" r="12065" b="12700"/>
            <wp:docPr id="2" name="图片 2" descr="D:/10.23双流区名师夏加强工作室送教活动简讯/微信图片_20231024204440.jpg微信图片_2023102420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10.23双流区名师夏加强工作室送教活动简讯/微信图片_20231024204440.jpg微信图片_20231024204440"/>
                    <pic:cNvPicPr>
                      <a:picLocks noChangeAspect="1"/>
                    </pic:cNvPicPr>
                  </pic:nvPicPr>
                  <pic:blipFill>
                    <a:blip r:embed="rId5"/>
                    <a:srcRect l="58" r="58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095375"/>
                    </a:xfrm>
                    <a:prstGeom prst="flowChartAlternateProcess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drawing>
          <wp:inline distT="0" distB="0" distL="114300" distR="114300">
            <wp:extent cx="1655445" cy="1104265"/>
            <wp:effectExtent l="9525" t="9525" r="11430" b="16510"/>
            <wp:docPr id="3" name="图片 3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104265"/>
                    </a:xfrm>
                    <a:prstGeom prst="flowChartAlternateProcess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首先是两节课例展示活动。第一节课由四川大学西航港实验小学戴铠西老师执教的二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年级唱歌课《母鸡叫咯咯》，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上课一开始戴老师就为学生创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设了去农场认识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“鸡”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朋友的场景，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通过有趣的导入拉近学生与母鸡的距离。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接着</w:t>
      </w: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在她声情并茂的表演中，让学生清晰感受到两只母鸡不同的风格，通过有效聆听、学唱、表演，学生能表现不同风格的两只母鸡后，再引导学生尝试二声部的合唱。学生在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“听、念、唱、演、创”</w:t>
      </w: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，把握歌曲情绪变化</w:t>
      </w: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，体验合作的乐趣，提高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编创能力。戴老师</w:t>
      </w: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将情境贯穿整个课堂，在聆听中解决问题，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体</w:t>
      </w: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>了音乐的弥漫性。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032635" cy="1355725"/>
            <wp:effectExtent l="9525" t="9525" r="15240" b="1905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35572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045335" cy="1363345"/>
            <wp:effectExtent l="9525" t="9525" r="15240" b="1143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36334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038350" cy="1359535"/>
            <wp:effectExtent l="9525" t="9525" r="9525" b="15240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5953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040890" cy="1361440"/>
            <wp:effectExtent l="9525" t="9525" r="19685" b="13335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36144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第二节课由双流区实验小学胥苗老师执教一年级欣赏课《铁匠波尔卡》。胥</w:t>
      </w:r>
      <w:r>
        <w:rPr>
          <w:rFonts w:hint="eastAsia" w:ascii="宋体" w:hAnsi="宋体" w:eastAsia="宋体" w:cs="宋体"/>
          <w:sz w:val="24"/>
        </w:rPr>
        <w:t>老师的整个教学流程清晰明了，环环紧扣，符合【2</w:t>
      </w:r>
      <w:r>
        <w:rPr>
          <w:rFonts w:ascii="宋体" w:hAnsi="宋体" w:eastAsia="宋体" w:cs="宋体"/>
          <w:sz w:val="24"/>
        </w:rPr>
        <w:t>022</w:t>
      </w:r>
      <w:r>
        <w:rPr>
          <w:rFonts w:hint="eastAsia" w:ascii="宋体" w:hAnsi="宋体" w:eastAsia="宋体" w:cs="宋体"/>
          <w:sz w:val="24"/>
        </w:rPr>
        <w:t>】艺术课标中第一学段趣味唱游的学业要求。胥老师通过视频导入，让学生感受了铁匠打铁的生活场景，始终围绕“</w:t>
      </w:r>
      <w:r>
        <w:rPr>
          <w:rFonts w:hint="eastAsia" w:ascii="宋体" w:hAnsi="宋体" w:eastAsia="宋体" w:cs="宋体"/>
          <w:sz w:val="24"/>
          <w:u w:val="single"/>
        </w:rPr>
        <w:t>XX</w:t>
      </w:r>
      <w:r>
        <w:rPr>
          <w:rFonts w:hint="eastAsia" w:ascii="宋体" w:hAnsi="宋体" w:eastAsia="宋体" w:cs="宋体"/>
          <w:sz w:val="24"/>
        </w:rPr>
        <w:t xml:space="preserve"> X”的节奏进行律动、表演、编创等音乐实践活动，让学生体验波尔卡的节奏特点。胥老师的音乐课做到了以学生为主体，在聆听环节中采用多觉联动，让学生深入感受音乐，在创编环节中放手让学生去创作，充分肯定学生的创编能力，在课堂中，胥老师关注每个学生，及时的评价让学生学习兴趣浓厚。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106930" cy="1405255"/>
            <wp:effectExtent l="9525" t="9525" r="17145" b="2032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40525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159635" cy="1439545"/>
            <wp:effectExtent l="9525" t="9525" r="15240" b="1143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43954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110105" cy="1407795"/>
            <wp:effectExtent l="9525" t="9525" r="13970" b="17780"/>
            <wp:docPr id="12" name="图片 1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40779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2138045" cy="1425575"/>
            <wp:effectExtent l="9525" t="9525" r="11430" b="12700"/>
            <wp:docPr id="13" name="图片 1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42557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课例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展示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后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进入到第二个环节，</w:t>
      </w: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评课议课。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工作室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全体成员对这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堂课展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了热烈的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分组讨论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四个小组的代表分别对两堂课进行了深度的评价，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老师们对这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节课给予了充分的肯定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</w:rPr>
        <w:t>也提出了一些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思考</w:t>
      </w: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，老师们在评课中也不断碰撞出思维的火花，学期所长，教研氛围浓厚。</w:t>
      </w:r>
    </w:p>
    <w:p>
      <w:pPr>
        <w:spacing w:line="360" w:lineRule="auto"/>
        <w:jc w:val="left"/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1217930" cy="812165"/>
            <wp:effectExtent l="9525" t="9525" r="17145" b="16510"/>
            <wp:docPr id="14" name="图片 1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81216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1225550" cy="817880"/>
            <wp:effectExtent l="9525" t="9525" r="9525" b="10795"/>
            <wp:docPr id="15" name="图片 15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81788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1223010" cy="815340"/>
            <wp:effectExtent l="9525" t="9525" r="12065" b="13335"/>
            <wp:docPr id="16" name="图片 16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1534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1223010" cy="815975"/>
            <wp:effectExtent l="9525" t="9525" r="12065" b="12700"/>
            <wp:docPr id="17" name="图片 17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1597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</w:rPr>
        <w:t>最后到了大家满怀期待的环节，双流区名师夏加强导师进行专题讲座《小学音乐课堂有效提问策略探讨》。在讲座中，夏加强导师从存在的问题和策略探讨两大点进行了讲解。分析了课堂中老师容易存在的问题，如脱离目标、流于形式、封闭单一、忽略差异性、情绪失控等问题，提醒老师们反思自己在教学的过程中是否存在这些问题。接着在有效提问的策略上，夏加强导师从“多管齐下，有效有道”、“能演善导，处变不惊”“生本理念”等三方面进行了阐述。通过本次讲座学习，老师们受益匪浅，建立了在教学中有效的提问的思路，也懂得了接受学生的差异性。</w:t>
      </w:r>
    </w:p>
    <w:p>
      <w:pPr>
        <w:spacing w:line="360" w:lineRule="auto"/>
        <w:jc w:val="left"/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1629410" cy="1086485"/>
            <wp:effectExtent l="9525" t="9525" r="12065" b="21590"/>
            <wp:docPr id="20" name="图片 20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08648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1632585" cy="1088390"/>
            <wp:effectExtent l="9525" t="9525" r="21590" b="19685"/>
            <wp:docPr id="18" name="图片 18" descr="微信图片_20231024204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310242040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08839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1620520" cy="1081405"/>
            <wp:effectExtent l="9525" t="9525" r="20955" b="13970"/>
            <wp:docPr id="19" name="图片 19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08140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t>学无止境，研无止境，每一次活动都是积跬步至千里的过程，让我们携手并进，共同努力，落实立德树人的根本任务，扎实推进音乐教学课堂。</w:t>
      </w:r>
    </w:p>
    <w:p>
      <w:pPr>
        <w:spacing w:line="360" w:lineRule="auto"/>
        <w:jc w:val="left"/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i w:val="0"/>
          <w:color w:val="00000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5262245" cy="2639695"/>
            <wp:effectExtent l="9525" t="9525" r="11430" b="17780"/>
            <wp:docPr id="21" name="图片 21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3969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OWE5YWE0NGFjOTQwN2NhMmM2OGViNjFlNjg3YzIifQ=="/>
  </w:docVars>
  <w:rsids>
    <w:rsidRoot w:val="00000000"/>
    <w:rsid w:val="2E7E4440"/>
    <w:rsid w:val="3A6574C2"/>
    <w:rsid w:val="47DE017F"/>
    <w:rsid w:val="5EA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59498</dc:creator>
  <cp:lastModifiedBy>Dkathy</cp:lastModifiedBy>
  <dcterms:modified xsi:type="dcterms:W3CDTF">2023-10-25T04:36:32Z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169AE5E589D44231A985A790BABE57ED_12</vt:lpwstr>
  </property>
</Properties>
</file>