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4C32" w14:textId="77777777" w:rsidR="00A35B1D" w:rsidRPr="00BE780D" w:rsidRDefault="00A35B1D" w:rsidP="00BE780D">
      <w:pPr>
        <w:spacing w:after="240" w:line="360" w:lineRule="auto"/>
        <w:jc w:val="center"/>
        <w:outlineLvl w:val="0"/>
        <w:rPr>
          <w:rFonts w:asciiTheme="minorEastAsia" w:eastAsiaTheme="minorEastAsia" w:hAnsiTheme="minorEastAsia"/>
          <w:b/>
          <w:sz w:val="36"/>
          <w:szCs w:val="30"/>
        </w:rPr>
      </w:pPr>
      <w:r w:rsidRPr="00BE780D">
        <w:rPr>
          <w:rFonts w:asciiTheme="minorEastAsia" w:eastAsiaTheme="minorEastAsia" w:hAnsiTheme="minorEastAsia" w:hint="eastAsia"/>
          <w:b/>
          <w:sz w:val="36"/>
          <w:szCs w:val="30"/>
        </w:rPr>
        <w:t>如何培养学生的数感</w:t>
      </w:r>
    </w:p>
    <w:p w14:paraId="038179B4" w14:textId="5363DE01" w:rsidR="00537D18" w:rsidRDefault="00537D18" w:rsidP="00537D18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双流区实验小学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胡伟</w:t>
      </w:r>
    </w:p>
    <w:p w14:paraId="7EDCBA17" w14:textId="529043AF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随着我国科技的迅速发展，数学的教育水平也逐渐提高。数学知识比较抽象，需要较好的数学分析能力以及数字感知能力，因此，数感这一教学内容成了教学中重要的内容之一。数学新课标明确提出“数感”是教学中重点培养的方向，因此，教师应该深刻理解“数感”这一概念，在课堂中培养学生数感，进一步提高学生的数学分析能力。“数感”是指学生对数学中的数学知识产生一定的感觉。在小学课堂中，课本是数学教学的唯一依据，数学作为主学科目，课时较多，教师应深入挖掘教材中的内容，培养学生的数感能力。</w:t>
      </w:r>
    </w:p>
    <w:p w14:paraId="39D27AA9" w14:textId="77777777" w:rsidR="00A35B1D" w:rsidRPr="00BE780D" w:rsidRDefault="00A35B1D" w:rsidP="00BE780D">
      <w:pPr>
        <w:pStyle w:val="a3"/>
        <w:numPr>
          <w:ilvl w:val="0"/>
          <w:numId w:val="1"/>
        </w:numPr>
        <w:spacing w:line="360" w:lineRule="auto"/>
        <w:ind w:left="0" w:firstLine="643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BE780D">
        <w:rPr>
          <w:rFonts w:asciiTheme="minorEastAsia" w:eastAsiaTheme="minorEastAsia" w:hAnsiTheme="minorEastAsia"/>
          <w:b/>
          <w:bCs/>
          <w:sz w:val="32"/>
          <w:szCs w:val="28"/>
        </w:rPr>
        <w:t>初步感受</w:t>
      </w:r>
      <w:r w:rsidRPr="00BE780D">
        <w:rPr>
          <w:rFonts w:asciiTheme="minorEastAsia" w:eastAsiaTheme="minorEastAsia" w:hAnsiTheme="minorEastAsia" w:hint="eastAsia"/>
          <w:b/>
          <w:bCs/>
          <w:sz w:val="32"/>
          <w:szCs w:val="28"/>
        </w:rPr>
        <w:t>，形成数感</w:t>
      </w:r>
    </w:p>
    <w:p w14:paraId="74716165" w14:textId="76D9FE1A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实际上，在学生开始接触数字时，已经不知不觉地寻找数字之间的联系，教师可以通过计数中的数字模式，引导学生发现数字之间的联系，找寻数字之间的联系点，可以帮助他们形成数感。</w:t>
      </w:r>
    </w:p>
    <w:p w14:paraId="20FBF29D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比如，认识数字“8”，它可以表示8个物体的总数相联系的数字；也可以说是“7”后面一个数或“9”前面一个数；再多2就可以凑成整十；还可以看成是“2+2+2+2”“4+4”等。对单个数字的理解，使学生逐渐体验到每个数字和其他众多的数字是怎样联系在一起的，而这些联系能使他们的思维更灵活，这种灵活性正是数感形成的特征。</w:t>
      </w:r>
    </w:p>
    <w:p w14:paraId="5162B917" w14:textId="77777777" w:rsidR="00A35B1D" w:rsidRPr="008E4CD9" w:rsidRDefault="00A35B1D" w:rsidP="00BE780D">
      <w:pPr>
        <w:pStyle w:val="a3"/>
        <w:numPr>
          <w:ilvl w:val="0"/>
          <w:numId w:val="1"/>
        </w:numPr>
        <w:spacing w:line="360" w:lineRule="auto"/>
        <w:ind w:left="0" w:firstLine="643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8E4CD9">
        <w:rPr>
          <w:rFonts w:asciiTheme="minorEastAsia" w:eastAsiaTheme="minorEastAsia" w:hAnsiTheme="minorEastAsia"/>
          <w:b/>
          <w:bCs/>
          <w:sz w:val="32"/>
          <w:szCs w:val="28"/>
        </w:rPr>
        <w:t>联系生活</w:t>
      </w:r>
      <w:r w:rsidRPr="008E4CD9">
        <w:rPr>
          <w:rFonts w:asciiTheme="minorEastAsia" w:eastAsiaTheme="minorEastAsia" w:hAnsiTheme="minorEastAsia" w:hint="eastAsia"/>
          <w:b/>
          <w:bCs/>
          <w:sz w:val="32"/>
          <w:szCs w:val="28"/>
        </w:rPr>
        <w:t>，建立数感</w:t>
      </w:r>
    </w:p>
    <w:p w14:paraId="2F0F026B" w14:textId="23F61732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数学源于生活，又用于生活。因此在数学教学过程中要紧密联系学生的生活实际，将抽象的数学知识化为学生日常所接触的，只有当学生把所学知识与生活经验联系起来，才能更好地掌握知识，内化知识。“数感”不仅仅是通过传授就能得到培养的，最主要的还是靠学生自己去挖掘和领悟。同时，教师也要引领学生用数学眼光去观察、发现数学问题，探究数学规律，让他们在学习数学的过程中，联系日常生活，把握数的概念，形成数感。</w:t>
      </w:r>
    </w:p>
    <w:p w14:paraId="420A9416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例如在教长度单位时，可以让学生在上体育课时初步感受一下1米、10米、50米、100米、400米的长度；在教升和毫升时，可以让学生拿出量筒，试着倒出1毫升、10毫升、100毫升、500毫升的水。在课堂教学时也可以让学生带来</w:t>
      </w:r>
      <w:r w:rsidRPr="00BE780D">
        <w:rPr>
          <w:rFonts w:asciiTheme="minorEastAsia" w:eastAsiaTheme="minorEastAsia" w:hAnsiTheme="minorEastAsia"/>
          <w:sz w:val="24"/>
          <w:szCs w:val="24"/>
        </w:rPr>
        <w:lastRenderedPageBreak/>
        <w:t>量筒、米尺等物品，称称、量量它们的重量和长度，不仅可以提高学生的学习兴趣，调动学生的积极性，也可以在不知不觉中丰富学生对数的认识，进一步建立数感。</w:t>
      </w:r>
    </w:p>
    <w:p w14:paraId="685D019B" w14:textId="77777777" w:rsidR="00A35B1D" w:rsidRPr="008E4CD9" w:rsidRDefault="00A35B1D" w:rsidP="00BE780D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8E4CD9">
        <w:rPr>
          <w:rFonts w:asciiTheme="minorEastAsia" w:eastAsiaTheme="minorEastAsia" w:hAnsiTheme="minorEastAsia"/>
          <w:b/>
          <w:bCs/>
          <w:sz w:val="32"/>
          <w:szCs w:val="28"/>
        </w:rPr>
        <w:t>三，学会估算，发展数感</w:t>
      </w:r>
    </w:p>
    <w:p w14:paraId="2D0DC349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估算在日常生活中运用广泛，而培养学生的估算意识及估算能力，对学生数感的形成影响重大。教师要引导学生把生活经验与已有的知识相结合，在众多的数据中分析，做出合理选择和判断，从而增强学生的数感。</w:t>
      </w:r>
    </w:p>
    <w:p w14:paraId="00AE1607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又如计算中的错题“45-18=34”，如果学生有估算意识和估算习惯，通过简单估算就能得知答案错误，比如，先看十位，40减10剩30，再看个位，5不够8减，得数肯定小于30，所以得数34明显是错的；还可以先把18估成20，这样45-20=25，然后25再加回多看的2得27。运用不同的估算方法，能帮助学生迅速对数值的对错做出大致的判断，提高数感，减少错误率。</w:t>
      </w:r>
    </w:p>
    <w:p w14:paraId="740645A4" w14:textId="77777777" w:rsidR="00A35B1D" w:rsidRPr="008E4CD9" w:rsidRDefault="00A35B1D" w:rsidP="00BE780D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8E4CD9">
        <w:rPr>
          <w:rFonts w:asciiTheme="minorEastAsia" w:eastAsiaTheme="minorEastAsia" w:hAnsiTheme="minorEastAsia"/>
          <w:b/>
          <w:bCs/>
          <w:sz w:val="32"/>
          <w:szCs w:val="28"/>
        </w:rPr>
        <w:t>四</w:t>
      </w:r>
      <w:r w:rsidRPr="008E4CD9">
        <w:rPr>
          <w:rFonts w:asciiTheme="minorEastAsia" w:eastAsiaTheme="minorEastAsia" w:hAnsiTheme="minorEastAsia" w:hint="eastAsia"/>
          <w:b/>
          <w:bCs/>
          <w:sz w:val="32"/>
          <w:szCs w:val="28"/>
        </w:rPr>
        <w:t>、</w:t>
      </w:r>
      <w:r w:rsidRPr="008E4CD9">
        <w:rPr>
          <w:rFonts w:asciiTheme="minorEastAsia" w:eastAsiaTheme="minorEastAsia" w:hAnsiTheme="minorEastAsia"/>
          <w:b/>
          <w:bCs/>
          <w:sz w:val="32"/>
          <w:szCs w:val="28"/>
        </w:rPr>
        <w:t>解决问题，强化数感</w:t>
      </w:r>
    </w:p>
    <w:p w14:paraId="3D6B51F1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学生学习数学的根本目的就是要能将知识转化为自己所有，数感则能有效帮助学生更加自觉地应用数学知识解决实际生活问题。因此，教师在授课中应充分尊重学生的主体学习地位，给学生提供积极探究探索的平台，以此有效强化学生对知识的应用能力，提高学生对数字的敏感性。</w:t>
      </w:r>
    </w:p>
    <w:p w14:paraId="222C52AF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以“一位数的除法”为例，教师可组织学生展开小组合作学习，引导学生展开自主探究。设计任务如下：“现在一共有24个苹果，将苹果平均放置在不同的盒子中，你能想到几种不同的方式？”应用问题引导学生展开探索，使学生展开直观实践演示。</w:t>
      </w:r>
    </w:p>
    <w:p w14:paraId="7F93E765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学生A：以6个盒子为基础，将24个苹果逐一放置，直到放置完毕，得出24÷6=4。</w:t>
      </w:r>
    </w:p>
    <w:p w14:paraId="54199ECD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学生B：以2个盒子为基础，得出式子24÷2=12。</w:t>
      </w:r>
    </w:p>
    <w:p w14:paraId="46C8F64F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学生C：以3个盒子为基础平均放置，得出24÷3=8。</w:t>
      </w:r>
    </w:p>
    <w:p w14:paraId="1AA03ECA" w14:textId="77777777" w:rsidR="00A35B1D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通过小组合作，学生能展开自主探究，在互相交流和探索的过程中不断发现知识形成的过程，不仅能启发学生思维能力，还能提高学生自主学习意识，有效培养学生的数感能力。</w:t>
      </w:r>
    </w:p>
    <w:p w14:paraId="66237C83" w14:textId="76131244" w:rsidR="00B52CA2" w:rsidRPr="00BE780D" w:rsidRDefault="00A35B1D" w:rsidP="00BE78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780D">
        <w:rPr>
          <w:rFonts w:asciiTheme="minorEastAsia" w:eastAsiaTheme="minorEastAsia" w:hAnsiTheme="minorEastAsia"/>
          <w:sz w:val="24"/>
          <w:szCs w:val="24"/>
        </w:rPr>
        <w:t>总之数感的形成是一个渐进的、沉淀的、积累的、潜移默化的过程,需要在</w:t>
      </w:r>
      <w:r w:rsidRPr="00BE780D">
        <w:rPr>
          <w:rFonts w:asciiTheme="minorEastAsia" w:eastAsiaTheme="minorEastAsia" w:hAnsiTheme="minorEastAsia"/>
          <w:sz w:val="24"/>
          <w:szCs w:val="24"/>
        </w:rPr>
        <w:lastRenderedPageBreak/>
        <w:t>较长时间的充分感知、体验和感受中逐步建立起来。培养学生的数感需在实际教学中结合具体的教学内容，有意识设计具体目标，提供有助于培养学生数感的情境，有利于发展学生数感的评价方式，以促进学生数感的建立和属性素养的提高，对学生将来的生活和工作都有价值。</w:t>
      </w:r>
    </w:p>
    <w:sectPr w:rsidR="00B52CA2" w:rsidRPr="00BE780D" w:rsidSect="00BE780D"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1D3A" w14:textId="77777777" w:rsidR="0061043A" w:rsidRDefault="0061043A" w:rsidP="00A35B1D">
      <w:r>
        <w:separator/>
      </w:r>
    </w:p>
  </w:endnote>
  <w:endnote w:type="continuationSeparator" w:id="0">
    <w:p w14:paraId="47978797" w14:textId="77777777" w:rsidR="0061043A" w:rsidRDefault="0061043A" w:rsidP="00A3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7199" w14:textId="77777777" w:rsidR="0061043A" w:rsidRDefault="0061043A" w:rsidP="00A35B1D">
      <w:r>
        <w:separator/>
      </w:r>
    </w:p>
  </w:footnote>
  <w:footnote w:type="continuationSeparator" w:id="0">
    <w:p w14:paraId="45A7B1F8" w14:textId="77777777" w:rsidR="0061043A" w:rsidRDefault="0061043A" w:rsidP="00A3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311B"/>
    <w:multiLevelType w:val="hybridMultilevel"/>
    <w:tmpl w:val="5A980C42"/>
    <w:lvl w:ilvl="0" w:tplc="F392E0BA">
      <w:start w:val="1"/>
      <w:numFmt w:val="japaneseCounting"/>
      <w:lvlText w:val="%1、"/>
      <w:lvlJc w:val="left"/>
      <w:pPr>
        <w:ind w:left="429" w:hanging="429"/>
      </w:pPr>
      <w:rPr>
        <w:rFonts w:hint="default"/>
        <w:snapToGrid/>
        <w:spacing w:val="0"/>
        <w:w w:val="100"/>
        <w:kern w:val="2"/>
        <w:position w:val="0"/>
        <w:sz w:val="27"/>
        <w:effect w:val="none"/>
      </w:rPr>
    </w:lvl>
    <w:lvl w:ilvl="1" w:tplc="766ECB20" w:tentative="1">
      <w:start w:val="1"/>
      <w:numFmt w:val="lowerLetter"/>
      <w:lvlText w:val="%2)"/>
      <w:lvlJc w:val="left"/>
      <w:pPr>
        <w:ind w:left="8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2" w:tplc="89E4674C" w:tentative="1">
      <w:start w:val="1"/>
      <w:numFmt w:val="lowerRoman"/>
      <w:lvlText w:val="%3."/>
      <w:lvlJc w:val="right"/>
      <w:pPr>
        <w:ind w:left="12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3" w:tplc="51D00D54" w:tentative="1">
      <w:start w:val="1"/>
      <w:numFmt w:val="decimal"/>
      <w:lvlText w:val="%4."/>
      <w:lvlJc w:val="left"/>
      <w:pPr>
        <w:ind w:left="16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4" w:tplc="13ECA002" w:tentative="1">
      <w:start w:val="1"/>
      <w:numFmt w:val="lowerLetter"/>
      <w:lvlText w:val="%5)"/>
      <w:lvlJc w:val="left"/>
      <w:pPr>
        <w:ind w:left="210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5" w:tplc="67604D6A" w:tentative="1">
      <w:start w:val="1"/>
      <w:numFmt w:val="lowerRoman"/>
      <w:lvlText w:val="%6."/>
      <w:lvlJc w:val="right"/>
      <w:pPr>
        <w:ind w:left="252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6" w:tplc="04966AA4" w:tentative="1">
      <w:start w:val="1"/>
      <w:numFmt w:val="decimal"/>
      <w:lvlText w:val="%7."/>
      <w:lvlJc w:val="left"/>
      <w:pPr>
        <w:ind w:left="294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7" w:tplc="2FD0C316" w:tentative="1">
      <w:start w:val="1"/>
      <w:numFmt w:val="lowerLetter"/>
      <w:lvlText w:val="%8)"/>
      <w:lvlJc w:val="left"/>
      <w:pPr>
        <w:ind w:left="336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  <w:lvl w:ilvl="8" w:tplc="BBE27E1E" w:tentative="1">
      <w:start w:val="1"/>
      <w:numFmt w:val="lowerRoman"/>
      <w:lvlText w:val="%9."/>
      <w:lvlJc w:val="right"/>
      <w:pPr>
        <w:ind w:left="3780" w:hanging="420"/>
      </w:pPr>
      <w:rPr>
        <w:snapToGrid/>
        <w:spacing w:val="0"/>
        <w:w w:val="100"/>
        <w:kern w:val="2"/>
        <w:position w:val="0"/>
        <w:sz w:val="27"/>
        <w:effect w:val="none"/>
      </w:rPr>
    </w:lvl>
  </w:abstractNum>
  <w:num w:numId="1" w16cid:durableId="37168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A2"/>
    <w:rsid w:val="00537D18"/>
    <w:rsid w:val="0061043A"/>
    <w:rsid w:val="008E4CD9"/>
    <w:rsid w:val="00A11053"/>
    <w:rsid w:val="00A35B1D"/>
    <w:rsid w:val="00B52CA2"/>
    <w:rsid w:val="00BB2C3B"/>
    <w:rsid w:val="00B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DDA4C"/>
  <w15:docId w15:val="{AD71F5FC-8802-4344-83B4-6A7E7841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161616"/>
    </w:rPr>
  </w:style>
  <w:style w:type="paragraph" w:styleId="1">
    <w:name w:val="heading 1"/>
    <w:basedOn w:val="a"/>
    <w:next w:val="a"/>
    <w:link w:val="10"/>
    <w:uiPriority w:val="9"/>
    <w:qFormat/>
    <w:rsid w:val="00A35B1D"/>
    <w:pPr>
      <w:spacing w:after="500" w:line="288" w:lineRule="auto"/>
      <w:jc w:val="left"/>
      <w:outlineLvl w:val="0"/>
    </w:pPr>
    <w:rPr>
      <w:rFonts w:ascii="微软雅黑" w:eastAsia="微软雅黑" w:hAnsi="微软雅黑"/>
      <w:b/>
      <w:bCs/>
      <w:sz w:val="3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B1D"/>
    <w:pPr>
      <w:spacing w:after="500" w:line="288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1D"/>
    <w:pPr>
      <w:spacing w:after="500" w:line="288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5B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5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5B1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5B1D"/>
    <w:rPr>
      <w:rFonts w:ascii="微软雅黑" w:eastAsia="微软雅黑" w:hAnsi="微软雅黑"/>
      <w:b/>
      <w:bCs/>
      <w:color w:val="161616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35B1D"/>
    <w:rPr>
      <w:rFonts w:ascii="微软雅黑" w:eastAsia="微软雅黑" w:hAnsi="微软雅黑" w:cstheme="majorBidi"/>
      <w:b/>
      <w:bCs/>
      <w:color w:val="161616"/>
      <w:sz w:val="27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35B1D"/>
    <w:rPr>
      <w:rFonts w:ascii="微软雅黑" w:eastAsia="微软雅黑" w:hAnsi="微软雅黑"/>
      <w:b/>
      <w:bCs/>
      <w:color w:val="161616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2477495131@qq.com</dc:creator>
  <cp:lastModifiedBy>Chenyuan Wang</cp:lastModifiedBy>
  <cp:revision>5</cp:revision>
  <dcterms:created xsi:type="dcterms:W3CDTF">2022-10-29T00:43:00Z</dcterms:created>
  <dcterms:modified xsi:type="dcterms:W3CDTF">2023-11-15T14:35:00Z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afcce3ac6a11432b85ba6a1803af57a4</vt:lpwstr>
  </property>
</Properties>
</file>