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964" w:firstLineChars="300"/>
        <w:jc w:val="center"/>
        <w:rPr>
          <w:rFonts w:hint="eastAsia" w:ascii="宋体" w:hAnsi="宋体" w:eastAsia="宋体"/>
          <w:b/>
          <w:bCs/>
          <w:sz w:val="28"/>
          <w:szCs w:val="28"/>
          <w:lang w:val="en-US" w:eastAsia="zh-CN"/>
        </w:rPr>
      </w:pPr>
      <w:r>
        <w:rPr>
          <w:rFonts w:hint="eastAsia" w:ascii="宋体" w:hAnsi="宋体" w:eastAsia="宋体"/>
          <w:b/>
          <w:bCs/>
          <w:sz w:val="32"/>
          <w:szCs w:val="32"/>
          <w:lang w:eastAsia="zh-CN"/>
        </w:rPr>
        <w:t>初中道德与法治教师教育测量与评价专项培训</w:t>
      </w:r>
      <w:r>
        <w:rPr>
          <w:rFonts w:hint="eastAsia" w:ascii="宋体" w:hAnsi="宋体" w:eastAsia="宋体"/>
          <w:b/>
          <w:bCs/>
          <w:sz w:val="28"/>
          <w:szCs w:val="28"/>
          <w:lang w:val="en-US" w:eastAsia="zh-CN"/>
        </w:rPr>
        <w:t xml:space="preserve">  </w:t>
      </w:r>
    </w:p>
    <w:p>
      <w:pPr>
        <w:ind w:firstLine="840" w:firstLineChars="300"/>
        <w:jc w:val="left"/>
        <w:rPr>
          <w:rFonts w:ascii="宋体" w:hAnsi="宋体" w:eastAsia="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w:t>
      </w:r>
      <w:bookmarkStart w:id="0" w:name="_GoBack"/>
      <w:r>
        <w:rPr>
          <w:rFonts w:hint="eastAsia" w:ascii="宋体" w:hAnsi="宋体" w:eastAsia="宋体" w:cs="宋体"/>
          <w:sz w:val="28"/>
          <w:szCs w:val="28"/>
        </w:rPr>
        <w:t>双流区名教师廖洪森名师工作室研修活动纪实</w:t>
      </w:r>
      <w:bookmarkEnd w:id="0"/>
      <w:r>
        <w:rPr>
          <w:rFonts w:hint="eastAsia" w:ascii="宋体" w:hAnsi="宋体" w:eastAsia="宋体"/>
          <w:b/>
          <w:bCs/>
          <w:sz w:val="28"/>
          <w:szCs w:val="28"/>
          <w:lang w:val="en-US" w:eastAsia="zh-CN"/>
        </w:rPr>
        <w:t xml:space="preserve">                                                                                                                                         </w:t>
      </w:r>
      <w:r>
        <w:rPr>
          <w:rFonts w:hint="eastAsia" w:ascii="宋体" w:hAnsi="宋体" w:eastAsia="宋体"/>
          <w:b/>
          <w:bCs/>
          <w:sz w:val="28"/>
          <w:szCs w:val="28"/>
        </w:rPr>
        <w:t>活动时间：</w:t>
      </w:r>
      <w:r>
        <w:rPr>
          <w:rFonts w:hint="eastAsia" w:ascii="宋体" w:hAnsi="宋体" w:eastAsia="宋体"/>
          <w:sz w:val="28"/>
          <w:szCs w:val="28"/>
        </w:rPr>
        <w:t>2</w:t>
      </w:r>
      <w:r>
        <w:rPr>
          <w:rFonts w:ascii="宋体" w:hAnsi="宋体" w:eastAsia="宋体"/>
          <w:sz w:val="28"/>
          <w:szCs w:val="28"/>
        </w:rPr>
        <w:t>02</w:t>
      </w:r>
      <w:r>
        <w:rPr>
          <w:rFonts w:hint="eastAsia" w:ascii="宋体" w:hAnsi="宋体" w:eastAsia="宋体"/>
          <w:sz w:val="28"/>
          <w:szCs w:val="28"/>
          <w:lang w:val="en-US" w:eastAsia="zh-CN"/>
        </w:rPr>
        <w:t>4</w:t>
      </w:r>
      <w:r>
        <w:rPr>
          <w:rFonts w:hint="eastAsia" w:ascii="宋体" w:hAnsi="宋体" w:eastAsia="宋体"/>
          <w:sz w:val="28"/>
          <w:szCs w:val="28"/>
        </w:rPr>
        <w:t>年</w:t>
      </w:r>
      <w:r>
        <w:rPr>
          <w:rFonts w:hint="eastAsia" w:ascii="宋体" w:hAnsi="宋体" w:eastAsia="宋体"/>
          <w:sz w:val="28"/>
          <w:szCs w:val="28"/>
          <w:lang w:val="en-US" w:eastAsia="zh-CN"/>
        </w:rPr>
        <w:t>3</w:t>
      </w:r>
      <w:r>
        <w:rPr>
          <w:rFonts w:hint="eastAsia" w:ascii="宋体" w:hAnsi="宋体" w:eastAsia="宋体"/>
          <w:sz w:val="28"/>
          <w:szCs w:val="28"/>
        </w:rPr>
        <w:t>月</w:t>
      </w:r>
      <w:r>
        <w:rPr>
          <w:rFonts w:hint="eastAsia" w:ascii="宋体" w:hAnsi="宋体" w:eastAsia="宋体"/>
          <w:sz w:val="28"/>
          <w:szCs w:val="28"/>
          <w:lang w:val="en-US" w:eastAsia="zh-CN"/>
        </w:rPr>
        <w:t>1</w:t>
      </w:r>
      <w:r>
        <w:rPr>
          <w:rFonts w:hint="eastAsia" w:ascii="宋体" w:hAnsi="宋体" w:eastAsia="宋体"/>
          <w:sz w:val="28"/>
          <w:szCs w:val="28"/>
        </w:rPr>
        <w:t>日</w:t>
      </w:r>
    </w:p>
    <w:p>
      <w:pPr>
        <w:rPr>
          <w:rFonts w:ascii="宋体" w:hAnsi="宋体" w:eastAsia="宋体"/>
          <w:sz w:val="28"/>
          <w:szCs w:val="28"/>
        </w:rPr>
      </w:pPr>
      <w:r>
        <w:rPr>
          <w:rFonts w:hint="eastAsia" w:ascii="宋体" w:hAnsi="宋体" w:eastAsia="宋体"/>
          <w:b/>
          <w:bCs/>
          <w:sz w:val="28"/>
          <w:szCs w:val="28"/>
        </w:rPr>
        <w:t>活动地点：</w:t>
      </w:r>
      <w:r>
        <w:rPr>
          <w:rFonts w:hint="eastAsia" w:ascii="宋体" w:hAnsi="宋体" w:eastAsia="宋体"/>
          <w:sz w:val="28"/>
          <w:szCs w:val="28"/>
        </w:rPr>
        <w:t>线</w:t>
      </w:r>
      <w:r>
        <w:rPr>
          <w:rFonts w:hint="eastAsia" w:ascii="宋体" w:hAnsi="宋体" w:eastAsia="宋体"/>
          <w:sz w:val="28"/>
          <w:szCs w:val="28"/>
          <w:lang w:eastAsia="zh-CN"/>
        </w:rPr>
        <w:t>下</w:t>
      </w:r>
      <w:r>
        <w:rPr>
          <w:rFonts w:hint="eastAsia" w:ascii="宋体" w:hAnsi="宋体" w:eastAsia="宋体"/>
          <w:sz w:val="28"/>
          <w:szCs w:val="28"/>
        </w:rPr>
        <w:t>培训</w:t>
      </w:r>
    </w:p>
    <w:p>
      <w:pPr>
        <w:rPr>
          <w:rFonts w:hint="eastAsia" w:ascii="宋体" w:hAnsi="宋体" w:eastAsia="宋体"/>
          <w:sz w:val="28"/>
          <w:szCs w:val="28"/>
          <w:lang w:val="en-US" w:eastAsia="zh-CN"/>
        </w:rPr>
      </w:pPr>
      <w:r>
        <w:rPr>
          <w:rFonts w:hint="eastAsia" w:ascii="宋体" w:hAnsi="宋体" w:eastAsia="宋体"/>
          <w:b/>
          <w:bCs/>
          <w:sz w:val="28"/>
          <w:szCs w:val="28"/>
        </w:rPr>
        <w:t>参加人员：</w:t>
      </w:r>
      <w:r>
        <w:rPr>
          <w:rFonts w:hint="eastAsia" w:ascii="宋体" w:hAnsi="宋体" w:eastAsia="宋体"/>
          <w:sz w:val="28"/>
          <w:szCs w:val="28"/>
        </w:rPr>
        <w:t>第十期工作室学员</w:t>
      </w:r>
    </w:p>
    <w:p>
      <w:pPr>
        <w:jc w:val="both"/>
        <w:rPr>
          <w:rFonts w:hint="eastAsia" w:ascii="宋体" w:hAnsi="宋体" w:eastAsia="宋体"/>
          <w:b/>
          <w:bCs/>
          <w:sz w:val="28"/>
          <w:szCs w:val="28"/>
          <w:lang w:val="en-US" w:eastAsia="zh-CN"/>
        </w:rPr>
      </w:pPr>
      <w:r>
        <w:rPr>
          <w:rFonts w:hint="eastAsia" w:ascii="宋体" w:hAnsi="宋体" w:eastAsia="宋体"/>
          <w:b/>
          <w:bCs/>
          <w:sz w:val="28"/>
          <w:szCs w:val="28"/>
        </w:rPr>
        <w:t>活动主题：</w:t>
      </w:r>
      <w:r>
        <w:rPr>
          <w:rFonts w:hint="eastAsia" w:ascii="宋体" w:hAnsi="宋体" w:eastAsia="宋体"/>
          <w:sz w:val="28"/>
          <w:szCs w:val="28"/>
          <w:lang w:eastAsia="zh-CN"/>
        </w:rPr>
        <w:t>初中道德与法治教师教育测量与评价专项培训</w:t>
      </w:r>
      <w:r>
        <w:rPr>
          <w:rFonts w:hint="eastAsia" w:ascii="宋体" w:hAnsi="宋体" w:eastAsia="宋体"/>
          <w:b/>
          <w:bCs/>
          <w:sz w:val="28"/>
          <w:szCs w:val="28"/>
          <w:lang w:val="en-US" w:eastAsia="zh-CN"/>
        </w:rPr>
        <w:t xml:space="preserve">  </w:t>
      </w:r>
    </w:p>
    <w:p>
      <w:pPr>
        <w:rPr>
          <w:rFonts w:hint="eastAsia" w:ascii="宋体" w:hAnsi="宋体" w:eastAsia="宋体"/>
          <w:sz w:val="28"/>
          <w:szCs w:val="28"/>
          <w:lang w:eastAsia="zh-CN"/>
        </w:rPr>
      </w:pPr>
      <w:r>
        <w:rPr>
          <w:rFonts w:hint="eastAsia" w:ascii="宋体" w:hAnsi="宋体" w:eastAsia="宋体"/>
          <w:b/>
          <w:bCs/>
          <w:sz w:val="28"/>
          <w:szCs w:val="28"/>
        </w:rPr>
        <w:t>活动内容：</w:t>
      </w:r>
      <w:r>
        <w:rPr>
          <w:rFonts w:hint="eastAsia" w:ascii="宋体" w:hAnsi="宋体" w:eastAsia="宋体"/>
          <w:sz w:val="28"/>
          <w:szCs w:val="28"/>
          <w:lang w:eastAsia="zh-CN"/>
        </w:rPr>
        <w:t>2024年3月1日，成都市初中道德与法治教师教育测量与评价专项培训在成都市双流区艺体中学隆重举行，双流区名教师廖洪森工作室全体成员</w:t>
      </w:r>
      <w:r>
        <w:rPr>
          <w:rFonts w:hint="eastAsia" w:ascii="宋体" w:hAnsi="宋体" w:eastAsia="宋体"/>
          <w:sz w:val="28"/>
          <w:szCs w:val="28"/>
          <w:lang w:val="en-US" w:eastAsia="zh-CN"/>
        </w:rPr>
        <w:t>全程参与</w:t>
      </w:r>
      <w:r>
        <w:rPr>
          <w:rFonts w:hint="eastAsia" w:ascii="宋体" w:hAnsi="宋体" w:eastAsia="宋体"/>
          <w:sz w:val="28"/>
          <w:szCs w:val="28"/>
          <w:lang w:eastAsia="zh-CN"/>
        </w:rPr>
        <w:t>。</w:t>
      </w:r>
    </w:p>
    <w:p>
      <w:pPr>
        <w:rPr>
          <w:rFonts w:hint="default" w:ascii="宋体" w:hAnsi="宋体" w:eastAsia="宋体"/>
          <w:sz w:val="28"/>
          <w:szCs w:val="28"/>
          <w:lang w:val="en-US" w:eastAsia="zh-CN"/>
        </w:rPr>
      </w:pPr>
      <w:r>
        <w:rPr>
          <w:rFonts w:hint="eastAsia" w:ascii="宋体" w:hAnsi="宋体" w:eastAsia="宋体"/>
          <w:sz w:val="28"/>
          <w:szCs w:val="28"/>
          <w:lang w:eastAsia="zh-CN"/>
        </w:rPr>
        <w:drawing>
          <wp:inline distT="0" distB="0" distL="114300" distR="114300">
            <wp:extent cx="2589530" cy="1943100"/>
            <wp:effectExtent l="0" t="0" r="1270" b="0"/>
            <wp:docPr id="1" name="图片 1" descr="ebaae189f29bbb4c0b59e284897a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baae189f29bbb4c0b59e284897a622"/>
                    <pic:cNvPicPr>
                      <a:picLocks noChangeAspect="1"/>
                    </pic:cNvPicPr>
                  </pic:nvPicPr>
                  <pic:blipFill>
                    <a:blip r:embed="rId4"/>
                    <a:stretch>
                      <a:fillRect/>
                    </a:stretch>
                  </pic:blipFill>
                  <pic:spPr>
                    <a:xfrm>
                      <a:off x="0" y="0"/>
                      <a:ext cx="2589530" cy="1943100"/>
                    </a:xfrm>
                    <a:prstGeom prst="rect">
                      <a:avLst/>
                    </a:prstGeom>
                  </pic:spPr>
                </pic:pic>
              </a:graphicData>
            </a:graphic>
          </wp:inline>
        </w:drawing>
      </w:r>
      <w:r>
        <w:rPr>
          <w:rFonts w:hint="eastAsia" w:ascii="宋体" w:hAnsi="宋体" w:eastAsia="宋体"/>
          <w:sz w:val="28"/>
          <w:szCs w:val="28"/>
          <w:lang w:val="en-US" w:eastAsia="zh-CN"/>
        </w:rPr>
        <w:t xml:space="preserve"> </w:t>
      </w:r>
      <w:r>
        <w:rPr>
          <w:rFonts w:hint="default" w:ascii="宋体" w:hAnsi="宋体" w:eastAsia="宋体"/>
          <w:sz w:val="28"/>
          <w:szCs w:val="28"/>
          <w:lang w:val="en-US" w:eastAsia="zh-CN"/>
        </w:rPr>
        <w:drawing>
          <wp:inline distT="0" distB="0" distL="114300" distR="114300">
            <wp:extent cx="2567940" cy="1925955"/>
            <wp:effectExtent l="0" t="0" r="3810" b="7620"/>
            <wp:docPr id="2" name="图片 2" descr="c278a39e2fb0fc5bc97471d6ee45f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278a39e2fb0fc5bc97471d6ee45fe7"/>
                    <pic:cNvPicPr>
                      <a:picLocks noChangeAspect="1"/>
                    </pic:cNvPicPr>
                  </pic:nvPicPr>
                  <pic:blipFill>
                    <a:blip r:embed="rId5"/>
                    <a:stretch>
                      <a:fillRect/>
                    </a:stretch>
                  </pic:blipFill>
                  <pic:spPr>
                    <a:xfrm>
                      <a:off x="0" y="0"/>
                      <a:ext cx="2567940" cy="1925955"/>
                    </a:xfrm>
                    <a:prstGeom prst="rect">
                      <a:avLst/>
                    </a:prstGeom>
                  </pic:spPr>
                </pic:pic>
              </a:graphicData>
            </a:graphic>
          </wp:inline>
        </w:drawing>
      </w:r>
    </w:p>
    <w:p>
      <w:pPr>
        <w:ind w:firstLine="560"/>
        <w:rPr>
          <w:rFonts w:hint="eastAsia" w:ascii="宋体" w:hAnsi="宋体" w:eastAsia="宋体"/>
          <w:sz w:val="28"/>
          <w:szCs w:val="28"/>
          <w:lang w:eastAsia="zh-CN"/>
        </w:rPr>
      </w:pPr>
      <w:r>
        <w:rPr>
          <w:rFonts w:hint="eastAsia" w:ascii="宋体" w:hAnsi="宋体" w:eastAsia="宋体"/>
          <w:sz w:val="28"/>
          <w:szCs w:val="28"/>
          <w:lang w:eastAsia="zh-CN"/>
        </w:rPr>
        <w:t>培训活动首先由成都市政治中心组成员、棠湖外国语学校的裴帮锐老师带来《核心素养导向下初中道德与法治命题改革》的专题培训。裴老师从“道德与法治课程核心素养及其培育路径”“素养导向下初中道德与法治命题的转型”“初中道德与法治试题命制技术”三个方面进行论述，深入浅出地向老师们传递了命题的方向和技术。裴老师强调，初中道德与法治学科的命题要有素养导向、素养立意，这种素养需要在特定的情境下方能显现，需要学生在问题情境下完成任务的行为表现能够真实展现学生素养的真实水平，所以要着重评价学生解决情境化问题的过程和结果，才能反映学生表现出来的核心素养水平。对于当下最常用的纸笔测试，如何命题才能较为准确地反映学生的核心素养水平？裴老师给出指导：要减少裸考知识，注重考查运用知识分析和解决问题；减少考查记忆理解的结果，注重考查思维过程、做事过程和探究过程的发展水平；减少封闭性试题，增强开放性等。最后，裴老师强调要依据课标命题、做到逻辑自洽，并从题干、题肢、设问、选项等角度分别阐释了命制技术，并给出了一道好题应具有的特征。裴老师的讲座理论与实践相结合，案例丰富，论证清晰，为老师们在命制试题方面传道受业解惑，让人获益匪浅。</w:t>
      </w:r>
    </w:p>
    <w:p>
      <w:pPr>
        <w:ind w:firstLine="560"/>
        <w:rPr>
          <w:rFonts w:hint="default" w:ascii="宋体" w:hAnsi="宋体" w:eastAsia="宋体"/>
          <w:sz w:val="28"/>
          <w:szCs w:val="28"/>
          <w:lang w:val="en-US" w:eastAsia="zh-CN"/>
        </w:rPr>
      </w:pPr>
      <w:r>
        <w:rPr>
          <w:rFonts w:hint="eastAsia" w:ascii="宋体" w:hAnsi="宋体" w:eastAsia="宋体"/>
          <w:sz w:val="28"/>
          <w:szCs w:val="28"/>
          <w:lang w:eastAsia="zh-CN"/>
        </w:rPr>
        <w:drawing>
          <wp:inline distT="0" distB="0" distL="114300" distR="114300">
            <wp:extent cx="3826510" cy="2870200"/>
            <wp:effectExtent l="0" t="0" r="2540" b="6350"/>
            <wp:docPr id="3" name="图片 3" descr="a9609a2a99dad1cd45aa01186e58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9609a2a99dad1cd45aa01186e58ed9"/>
                    <pic:cNvPicPr>
                      <a:picLocks noChangeAspect="1"/>
                    </pic:cNvPicPr>
                  </pic:nvPicPr>
                  <pic:blipFill>
                    <a:blip r:embed="rId6"/>
                    <a:stretch>
                      <a:fillRect/>
                    </a:stretch>
                  </pic:blipFill>
                  <pic:spPr>
                    <a:xfrm>
                      <a:off x="0" y="0"/>
                      <a:ext cx="3826510" cy="2870200"/>
                    </a:xfrm>
                    <a:prstGeom prst="rect">
                      <a:avLst/>
                    </a:prstGeom>
                  </pic:spPr>
                </pic:pic>
              </a:graphicData>
            </a:graphic>
          </wp:inline>
        </w:drawing>
      </w:r>
      <w:r>
        <w:rPr>
          <w:rFonts w:hint="eastAsia" w:ascii="宋体" w:hAnsi="宋体" w:eastAsia="宋体"/>
          <w:sz w:val="28"/>
          <w:szCs w:val="28"/>
          <w:lang w:val="en-US" w:eastAsia="zh-CN"/>
        </w:rPr>
        <w:t xml:space="preserve"> </w:t>
      </w:r>
    </w:p>
    <w:p>
      <w:pPr>
        <w:ind w:firstLine="560"/>
        <w:rPr>
          <w:rFonts w:hint="eastAsia" w:ascii="宋体" w:hAnsi="宋体" w:eastAsia="宋体"/>
          <w:sz w:val="28"/>
          <w:szCs w:val="28"/>
          <w:lang w:eastAsia="zh-CN"/>
        </w:rPr>
      </w:pPr>
      <w:r>
        <w:rPr>
          <w:rFonts w:hint="eastAsia" w:ascii="宋体" w:hAnsi="宋体" w:eastAsia="宋体"/>
          <w:sz w:val="28"/>
          <w:szCs w:val="28"/>
          <w:lang w:eastAsia="zh-CN"/>
        </w:rPr>
        <w:t>下午的培训是由特级名教师廖洪森老师主讲，他以《专业思维，悟者天成》为主题，从试题评估看变化，典型题例悟规范，专家视角寻落地三个方面对初中道法学业质量检测工作进行了培训。</w:t>
      </w:r>
    </w:p>
    <w:p>
      <w:pPr>
        <w:ind w:firstLine="560"/>
        <w:rPr>
          <w:rFonts w:hint="eastAsia" w:ascii="宋体" w:hAnsi="宋体" w:eastAsia="宋体"/>
          <w:sz w:val="28"/>
          <w:szCs w:val="28"/>
          <w:lang w:eastAsia="zh-CN"/>
        </w:rPr>
      </w:pPr>
      <w:r>
        <w:rPr>
          <w:rFonts w:hint="eastAsia" w:ascii="宋体" w:hAnsi="宋体" w:eastAsia="宋体"/>
          <w:sz w:val="28"/>
          <w:szCs w:val="28"/>
          <w:lang w:eastAsia="zh-CN"/>
        </w:rPr>
        <w:t>廖老师立足我国义务教育质量监测的相关国家级，省部级红头文件进行了重点讲解和文件精神强调，介绍了我国义务教育质量监测历程，增强了培训老师的使命感和责任感。同时他对思政课发展政策背景进行了细致梳理，从政策推进的历程，引领老师们发现国家对思政课越来越多的重视力度，提振了思政教师的专业发展信心和动力，然后</w:t>
      </w:r>
      <w:r>
        <w:rPr>
          <w:rFonts w:hint="eastAsia" w:ascii="宋体" w:hAnsi="宋体" w:eastAsia="宋体"/>
          <w:sz w:val="28"/>
          <w:szCs w:val="28"/>
          <w:lang w:val="en-US" w:eastAsia="zh-CN"/>
        </w:rPr>
        <w:t>廖老师</w:t>
      </w:r>
      <w:r>
        <w:rPr>
          <w:rFonts w:hint="eastAsia" w:ascii="宋体" w:hAnsi="宋体" w:eastAsia="宋体"/>
          <w:sz w:val="28"/>
          <w:szCs w:val="28"/>
          <w:lang w:eastAsia="zh-CN"/>
        </w:rPr>
        <w:t>结合历年典型中高考真题进行剖析和命题角度的专业讲解，让在座培训的老师们醍醐灌顶，更好地帮助老师们从理论到实践进行理解和体悟。</w:t>
      </w:r>
    </w:p>
    <w:p>
      <w:pPr>
        <w:ind w:firstLine="560"/>
        <w:rPr>
          <w:rFonts w:hint="eastAsia" w:ascii="宋体" w:hAnsi="宋体" w:eastAsia="宋体"/>
          <w:sz w:val="28"/>
          <w:szCs w:val="28"/>
          <w:lang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zMmU1YWUwYWEzMTA5Njc3ZWI2YTY1MTVlZTk4MDcifQ=="/>
  </w:docVars>
  <w:rsids>
    <w:rsidRoot w:val="6A4546B3"/>
    <w:rsid w:val="6A4546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1615</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2024-03-04T00:32:00Z</dcterms:created>
  <dc:creator>黄洪霞</dc:creator>
  <cp:lastModifiedBy>黄洪霞</cp:lastModifiedBy>
  <dcterms:modified xsi:type="dcterms:W3CDTF">2024-03-05T04:50:46Z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F45A706B70F04D4B9984537FEA4399C0_11</vt:lpwstr>
  </property>
</Properties>
</file>