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ind w:firstLine="640" w:firstLineChars="200"/>
        <w:jc w:val="center"/>
        <w:textAlignment w:val="baseline"/>
        <w:rPr>
          <w:rStyle w:val="7"/>
          <w:rFonts w:ascii="方正小标宋_GBK" w:hAnsi="方正小标宋_GBK" w:eastAsia="方正小标宋_GBK"/>
          <w:b w:val="0"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7"/>
          <w:rFonts w:ascii="黑体" w:hAnsi="黑体" w:eastAsia="黑体" w:cs="黑体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202</w:t>
      </w:r>
      <w:r>
        <w:rPr>
          <w:rStyle w:val="7"/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2</w:t>
      </w:r>
      <w:r>
        <w:rPr>
          <w:rStyle w:val="7"/>
          <w:rFonts w:ascii="黑体" w:hAnsi="黑体" w:eastAsia="黑体" w:cs="黑体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-202</w:t>
      </w:r>
      <w:r>
        <w:rPr>
          <w:rStyle w:val="7"/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4</w:t>
      </w:r>
      <w:r>
        <w:rPr>
          <w:rStyle w:val="7"/>
          <w:rFonts w:ascii="黑体" w:hAnsi="黑体" w:eastAsia="黑体" w:cs="黑体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学年度</w:t>
      </w:r>
      <w:r>
        <w:rPr>
          <w:rStyle w:val="7"/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下</w:t>
      </w:r>
      <w:r>
        <w:rPr>
          <w:rStyle w:val="7"/>
          <w:rFonts w:ascii="黑体" w:hAnsi="黑体" w:eastAsia="黑体" w:cs="黑体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期</w:t>
      </w:r>
      <w:r>
        <w:rPr>
          <w:rFonts w:hint="eastAsia" w:ascii="黑体" w:hAnsi="黑体" w:eastAsia="黑体" w:cs="黑体"/>
          <w:bCs/>
          <w:color w:val="000000"/>
          <w:sz w:val="32"/>
          <w:szCs w:val="32"/>
          <w:lang w:val="en-US" w:eastAsia="zh-CN"/>
        </w:rPr>
        <w:t>工作室第六次送教研修</w:t>
      </w:r>
      <w:r>
        <w:rPr>
          <w:rFonts w:hint="eastAsia" w:ascii="黑体" w:hAnsi="黑体" w:eastAsia="黑体" w:cs="黑体"/>
          <w:bCs/>
          <w:color w:val="000000"/>
          <w:sz w:val="32"/>
          <w:szCs w:val="32"/>
        </w:rPr>
        <w:t>活动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7"/>
          <w:rFonts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7"/>
          <w:rFonts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活动时间：202</w:t>
      </w:r>
      <w:r>
        <w:rPr>
          <w:rStyle w:val="7"/>
          <w:rFonts w:hint="eastAsia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4</w:t>
      </w:r>
      <w:r>
        <w:rPr>
          <w:rStyle w:val="7"/>
          <w:rFonts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年</w:t>
      </w:r>
      <w:r>
        <w:rPr>
          <w:rStyle w:val="7"/>
          <w:rFonts w:hint="eastAsia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4</w:t>
      </w:r>
      <w:r>
        <w:rPr>
          <w:rStyle w:val="7"/>
          <w:rFonts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月</w:t>
      </w:r>
      <w:r>
        <w:rPr>
          <w:rStyle w:val="7"/>
          <w:rFonts w:hint="eastAsia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8</w:t>
      </w:r>
      <w:r>
        <w:rPr>
          <w:rStyle w:val="7"/>
          <w:rFonts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日 星期</w:t>
      </w:r>
      <w:r>
        <w:rPr>
          <w:rStyle w:val="7"/>
          <w:rFonts w:hint="eastAsia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一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7"/>
          <w:rFonts w:hint="default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7"/>
          <w:rFonts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活动地点：</w:t>
      </w:r>
      <w:r>
        <w:rPr>
          <w:rStyle w:val="7"/>
          <w:rFonts w:hint="eastAsia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艺体中学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7"/>
          <w:rFonts w:hint="default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bidi="ar-SA"/>
        </w:rPr>
      </w:pPr>
      <w:r>
        <w:rPr>
          <w:rStyle w:val="7"/>
          <w:rFonts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参加人员：李中军名教师工作室成员</w:t>
      </w:r>
      <w:r>
        <w:rPr>
          <w:rStyle w:val="7"/>
          <w:rFonts w:hint="eastAsia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、艺体中学数学组部分教师</w:t>
      </w:r>
    </w:p>
    <w:p>
      <w:pPr>
        <w:jc w:val="left"/>
        <w:rPr>
          <w:rStyle w:val="7"/>
          <w:rFonts w:hint="default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活动内容：</w:t>
      </w: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送教研修活动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Style w:val="7"/>
          <w:rFonts w:hint="eastAsia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7"/>
          <w:rFonts w:hint="eastAsia" w:ascii="黑体" w:hAnsi="黑体" w:eastAsia="黑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活动过程：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2024年4月8日下午2:00，名师李中军工作室全体成员在双流艺体中学开展联合教研活动。艺体中学数学组部分教师参会，此次联合教研活动由李中军工作室成员何红梅担任主持人。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本次活动分为三个环节，1.导师李中军讲座;2.工作室成员吴梦莎老师和李宇潇老师异课异构</w:t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课堂展示;3.导师、学员及艺体中学老师对课例进行点评。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auto"/>
        <w:ind w:left="0" w:leftChars="0" w:firstLine="562" w:firstLineChars="200"/>
        <w:jc w:val="left"/>
        <w:textAlignment w:val="baseline"/>
        <w:rPr>
          <w:rStyle w:val="7"/>
          <w:rFonts w:hint="eastAsia" w:ascii="仿宋" w:hAnsi="仿宋" w:eastAsia="仿宋" w:cs="仿宋"/>
          <w:b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环节一：导师李中军讲座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800100</wp:posOffset>
            </wp:positionV>
            <wp:extent cx="2605405" cy="1957070"/>
            <wp:effectExtent l="0" t="0" r="4445" b="5080"/>
            <wp:wrapSquare wrapText="bothSides"/>
            <wp:docPr id="2" name="图片 2" descr="mmexport171316303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7131630316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首先，师父李中军给我们做了题为《学历案背景下数学生成性教学》的讲座，他指出：双新课堂将学生提升到“生命共同体”的高度，指向学生的“生成性”教学应运而生．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他主要从以下四个方面结合课例展开说明：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default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1、更多使用身边的现实情境和熟悉的数学情境;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default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2、精心设计学生活动：精准把握生成节点;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default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3、鼓励质疑：促发生成的内动力;</w:t>
      </w:r>
    </w:p>
    <w:p>
      <w:pPr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default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4、适时留白：预留生成空间。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279" w:leftChars="133" w:firstLine="281" w:firstLineChars="100"/>
        <w:jc w:val="lef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Style w:val="7"/>
          <w:rFonts w:hint="eastAsia" w:ascii="仿宋" w:hAnsi="仿宋" w:eastAsia="仿宋" w:cs="仿宋"/>
          <w:b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环节二：异课异构</w:t>
      </w:r>
      <w:r>
        <w:rPr>
          <w:rFonts w:ascii="宋体" w:hAnsi="宋体" w:eastAsia="宋体" w:cs="宋体"/>
          <w:sz w:val="24"/>
          <w:szCs w:val="24"/>
        </w:rPr>
        <w:t>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279" w:leftChars="133"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4415155</wp:posOffset>
            </wp:positionV>
            <wp:extent cx="2733040" cy="2051685"/>
            <wp:effectExtent l="0" t="0" r="10160" b="5715"/>
            <wp:wrapSquare wrapText="bothSides"/>
            <wp:docPr id="5" name="图片 5" descr="mmexport1713168599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713168599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57785</wp:posOffset>
            </wp:positionV>
            <wp:extent cx="2863215" cy="2147570"/>
            <wp:effectExtent l="0" t="0" r="13335" b="5080"/>
            <wp:wrapSquare wrapText="bothSides"/>
            <wp:docPr id="4" name="图片 4" descr="IMG_20240408_14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408_1455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吴梦莎老师的这堂关于已知极值点求参的课程，是一堂高质量的由浅入深、循序渐进的数学课。首先，吴老师充分把握学情，对学案的设计非常合理，从通过让学生导函数和原函数的图象入手，让学生充分回顾了原函数与导函数的关系，同时理解了极值点的定义以及等价转化的条件。为进一步求解已知极值点求参做好了铺垫，由浅入深，循序渐进引导学生去处理与极值点相关的问题，逐步提高自己的思维能力和解题能力。同时，她善于引导学生主动思考，通过提问和讨论的方式，让学生在思考中发现问题、解决问题，从而培养了他们的创新思维和解决问题的能力。最后引导学生总结解题步骤，感受数学思想，对于基础较差的学生而言，总结出解题步骤是提升教学效果行之有效的办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279" w:leftChars="133"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bookmarkStart w:id="0" w:name="_GoBack"/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2917825</wp:posOffset>
            </wp:positionV>
            <wp:extent cx="2490470" cy="2080895"/>
            <wp:effectExtent l="0" t="0" r="5080" b="14605"/>
            <wp:wrapSquare wrapText="bothSides"/>
            <wp:docPr id="6" name="图片 6" descr="IMG_20240408_16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408_1601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总的来说，吴梦莎老师的这堂数学课是一堂非常成功的课程。她通过直观演示和深入探究，使得学生在轻松愉快的氛围中掌握了极值问题的相关知识，并提高了他们的数学素养和解题能力。这样的教学方式值得我们学习和借鉴。</w:t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br w:type="textWrapping"/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 xml:space="preserve">   李宇潇老师的课堂表现体现了新生代的实力，他精心设计的复习课程不仅帮助孩子们巩固了重点知识，还通过深入剖析和灵活应用，使学生们对极坐标的理解更加深入。</w:t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br w:type="textWrapping"/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 xml:space="preserve">   李宇潇老师首先带领大家回顾极坐标方程，参数方程，普通方程三者的关系及转换方式。对点的转换，方程的转换以及方程的联立进行训练，再引导学生对一般极参问题的题干进行分析，能够快速捕获关键信息，得出极参的主要思路及一般做法。</w:t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他通过选取具有代表性的例题，让学生们在实际操作中理解和掌握解题方法和技巧。同时，他还针对学生们的疑惑和难点，进行了详细的讲解和耐心的指导，使学生们能够逐步突破学习中的障碍。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279" w:leftChars="133"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值得一提的是，李宇潇老师在引导过程中不断渗透数学思想方法，同时培养学生的审题意识和</w:t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思维能力，使学生们能够在复习过程中抓住重点，提高解决问题的能力，同时提高学习效率。这种教学方法不仅有助于学生们应对考试，更能够培养他们的创新思维和实践能力。总之，李宇潇老师的课堂表现充分展现了他的教学水平和专业素养。他通过精心设计的复习课程，帮助学生们巩固了重点知识，提高了解决问题的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auto"/>
        <w:ind w:left="0" w:leftChars="0" w:firstLine="562" w:firstLineChars="200"/>
        <w:jc w:val="left"/>
        <w:textAlignment w:val="baseline"/>
        <w:rPr>
          <w:rStyle w:val="7"/>
          <w:rFonts w:hint="default" w:ascii="仿宋" w:hAnsi="仿宋" w:eastAsia="仿宋" w:cs="仿宋"/>
          <w:b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环节三：评课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11430</wp:posOffset>
            </wp:positionV>
            <wp:extent cx="2810510" cy="2108835"/>
            <wp:effectExtent l="0" t="0" r="8890" b="5715"/>
            <wp:wrapSquare wrapText="bothSides"/>
            <wp:docPr id="8" name="图片 8" descr="mmexport171316295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7131629513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首先是艺体中学的两位老师对着两节课进行了点评。他们都表示这两节课设计合理，目标达成度高，值得大家学习。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1620520</wp:posOffset>
            </wp:positionV>
            <wp:extent cx="2482215" cy="1863725"/>
            <wp:effectExtent l="0" t="0" r="13335" b="3175"/>
            <wp:wrapSquare wrapText="bothSides"/>
            <wp:docPr id="9" name="图片 9" descr="mmexport171316296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7131629607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师父李中军说到例题与对应的变式设计的很好，难度逐步提高，思维量逐步加大，知识面逐步拓宽，他指出在上课前，必须先预设，自己对本节课得先有预期，在课堂中向预期通过不同的手段达成预期，提高课堂效率。每节课必须要让不同层次的孩子有不同的收获，发现不同孩子的优点，并给予机会展示自己，逐步增强孩子们学习数学的信心，增加学习数学的热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学员郑马莲老师和王灵老师也对课例进行了点评，充分肯定了这两堂课。同时给出了自己的一些建议以及阐述了自己的一些困惑。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560" w:firstLineChars="200"/>
        <w:jc w:val="left"/>
        <w:textAlignment w:val="baseline"/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总之，今天进行了一次高质量的教研，学员们都收获满满。最后，师父对后期的安排做了简要说明。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279" w:leftChars="133" w:firstLine="560" w:firstLineChars="200"/>
        <w:jc w:val="left"/>
        <w:textAlignment w:val="baseline"/>
        <w:rPr>
          <w:rStyle w:val="7"/>
          <w:rFonts w:hint="default" w:ascii="仿宋" w:hAnsi="仿宋" w:eastAsia="仿宋" w:cs="仿宋"/>
          <w:b w:val="0"/>
          <w:bCs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531" w:right="1531" w:bottom="1531" w:left="1531" w:header="851" w:footer="992" w:gutter="0"/>
      <w:lnNumType w:countBy="0"/>
      <w:cols w:space="425" w:num="1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idowControl/>
      <w:snapToGrid w:val="0"/>
      <w:jc w:val="center"/>
      <w:textAlignment w:val="baseline"/>
      <w:rPr>
        <w:rStyle w:val="7"/>
        <w:kern w:val="2"/>
        <w:sz w:val="18"/>
        <w:szCs w:val="24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9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XW5UtAAAAAFAQAADwAAAAAAAAABACAAAAAiAAAAZHJz&#10;L2Rvd25yZXYueG1sUEsBAhQAFAAAAAgAh07iQCRqOwPTAQAAngMAAA4AAAAAAAAAAQAgAAAAHw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2"/>
      <w:widowControl/>
      <w:snapToGrid w:val="0"/>
      <w:jc w:val="left"/>
      <w:textAlignment w:val="baseline"/>
      <w:rPr>
        <w:rStyle w:val="7"/>
        <w:kern w:val="2"/>
        <w:sz w:val="18"/>
        <w:szCs w:val="24"/>
        <w:lang w:val="en-US" w:eastAsia="zh-CN" w:bidi="ar-S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textAlignment w:val="baseline"/>
      <w:rPr>
        <w:rStyle w:val="7"/>
        <w:kern w:val="2"/>
        <w:sz w:val="24"/>
        <w:szCs w:val="24"/>
        <w:lang w:val="en-US" w:eastAsia="zh-CN" w:bidi="ar-SA"/>
      </w:rPr>
    </w:pPr>
    <w:r>
      <w:rPr>
        <w:rStyle w:val="7"/>
        <w:rFonts w:ascii="楷体" w:hAnsi="楷体" w:eastAsia="楷体"/>
        <w:kern w:val="2"/>
        <w:sz w:val="24"/>
        <w:szCs w:val="24"/>
        <w:u w:val="single"/>
        <w:lang w:val="en-US" w:eastAsia="zh-CN" w:bidi="ar-SA"/>
      </w:rPr>
      <w:t>202</w:t>
    </w:r>
    <w:r>
      <w:rPr>
        <w:rStyle w:val="7"/>
        <w:rFonts w:hint="eastAsia" w:ascii="楷体" w:hAnsi="楷体" w:eastAsia="楷体"/>
        <w:kern w:val="2"/>
        <w:sz w:val="24"/>
        <w:szCs w:val="24"/>
        <w:u w:val="single"/>
        <w:lang w:val="en-US" w:eastAsia="zh-CN" w:bidi="ar-SA"/>
      </w:rPr>
      <w:t>3</w:t>
    </w:r>
    <w:r>
      <w:rPr>
        <w:rStyle w:val="7"/>
        <w:rFonts w:ascii="楷体" w:hAnsi="楷体" w:eastAsia="楷体"/>
        <w:kern w:val="2"/>
        <w:sz w:val="24"/>
        <w:szCs w:val="24"/>
        <w:u w:val="single"/>
        <w:lang w:val="en-US" w:eastAsia="zh-CN" w:bidi="ar-SA"/>
      </w:rPr>
      <w:t>-202</w:t>
    </w:r>
    <w:r>
      <w:rPr>
        <w:rStyle w:val="7"/>
        <w:rFonts w:hint="eastAsia" w:ascii="楷体" w:hAnsi="楷体" w:eastAsia="楷体"/>
        <w:kern w:val="2"/>
        <w:sz w:val="24"/>
        <w:szCs w:val="24"/>
        <w:u w:val="single"/>
        <w:lang w:val="en-US" w:eastAsia="zh-CN" w:bidi="ar-SA"/>
      </w:rPr>
      <w:t>4</w:t>
    </w:r>
    <w:r>
      <w:rPr>
        <w:rStyle w:val="7"/>
        <w:rFonts w:ascii="楷体" w:hAnsi="楷体" w:eastAsia="楷体"/>
        <w:kern w:val="2"/>
        <w:sz w:val="24"/>
        <w:szCs w:val="24"/>
        <w:u w:val="single"/>
        <w:lang w:val="en-US" w:eastAsia="zh-CN" w:bidi="ar-SA"/>
      </w:rPr>
      <w:t>学年度（</w:t>
    </w:r>
    <w:r>
      <w:rPr>
        <w:rStyle w:val="7"/>
        <w:rFonts w:hint="eastAsia" w:ascii="楷体" w:hAnsi="楷体" w:eastAsia="楷体"/>
        <w:kern w:val="2"/>
        <w:sz w:val="24"/>
        <w:szCs w:val="24"/>
        <w:u w:val="single"/>
        <w:lang w:val="en-US" w:eastAsia="zh-CN" w:bidi="ar-SA"/>
      </w:rPr>
      <w:t>下</w:t>
    </w:r>
    <w:r>
      <w:rPr>
        <w:rStyle w:val="7"/>
        <w:rFonts w:ascii="楷体" w:hAnsi="楷体" w:eastAsia="楷体"/>
        <w:kern w:val="2"/>
        <w:sz w:val="24"/>
        <w:szCs w:val="24"/>
        <w:u w:val="single"/>
        <w:lang w:val="en-US" w:eastAsia="zh-CN" w:bidi="ar-SA"/>
      </w:rPr>
      <w:t xml:space="preserve">）  双流区李中军名教师工作室活动简报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3NTc2NjkyYTJlNTk1MzhhMDgzYzNlMTJjN2YyNGYifQ=="/>
  </w:docVars>
  <w:rsids>
    <w:rsidRoot w:val="00000000"/>
    <w:rsid w:val="07E55609"/>
    <w:rsid w:val="09CE5F58"/>
    <w:rsid w:val="0DEB14A0"/>
    <w:rsid w:val="1C0A168B"/>
    <w:rsid w:val="33997124"/>
    <w:rsid w:val="34856CD7"/>
    <w:rsid w:val="36C503AA"/>
    <w:rsid w:val="38726196"/>
    <w:rsid w:val="399F3FAF"/>
    <w:rsid w:val="489B5146"/>
    <w:rsid w:val="48FB5D34"/>
    <w:rsid w:val="498F4DFA"/>
    <w:rsid w:val="5A8262B5"/>
    <w:rsid w:val="64FF0C2E"/>
    <w:rsid w:val="66554BDB"/>
    <w:rsid w:val="674F751F"/>
    <w:rsid w:val="6E275BD0"/>
    <w:rsid w:val="6FFE793D"/>
    <w:rsid w:val="75C86B78"/>
    <w:rsid w:val="776B2153"/>
    <w:rsid w:val="77901B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  <w:textAlignment w:val="baseline"/>
    </w:pPr>
    <w:rPr>
      <w:kern w:val="2"/>
      <w:sz w:val="18"/>
      <w:szCs w:val="24"/>
      <w:lang w:val="en-US" w:eastAsia="zh-CN" w:bidi="ar-SA"/>
    </w:rPr>
  </w:style>
  <w:style w:type="paragraph" w:styleId="3">
    <w:name w:val="header"/>
    <w:basedOn w:val="1"/>
    <w:link w:val="12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  <w:textAlignment w:val="baseline"/>
    </w:pPr>
    <w:rPr>
      <w:kern w:val="2"/>
      <w:sz w:val="18"/>
      <w:szCs w:val="18"/>
      <w:lang w:val="en-US" w:eastAsia="zh-CN" w:bidi="ar-SA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customStyle="1" w:styleId="7">
    <w:name w:val="NormalCharacter"/>
    <w:autoRedefine/>
    <w:qFormat/>
    <w:uiPriority w:val="0"/>
  </w:style>
  <w:style w:type="table" w:customStyle="1" w:styleId="8">
    <w:name w:val="TableNormal"/>
    <w:autoRedefine/>
    <w:qFormat/>
    <w:uiPriority w:val="0"/>
  </w:style>
  <w:style w:type="paragraph" w:customStyle="1" w:styleId="9">
    <w:name w:val="Acetate"/>
    <w:basedOn w:val="1"/>
    <w:link w:val="10"/>
    <w:autoRedefine/>
    <w:qFormat/>
    <w:uiPriority w:val="0"/>
    <w:pPr>
      <w:jc w:val="both"/>
      <w:textAlignment w:val="baseline"/>
    </w:pPr>
    <w:rPr>
      <w:kern w:val="2"/>
      <w:sz w:val="18"/>
      <w:szCs w:val="18"/>
      <w:lang w:val="en-US" w:eastAsia="zh-CN" w:bidi="ar-SA"/>
    </w:rPr>
  </w:style>
  <w:style w:type="character" w:customStyle="1" w:styleId="10">
    <w:name w:val="UserStyle_0"/>
    <w:basedOn w:val="7"/>
    <w:link w:val="9"/>
    <w:autoRedefine/>
    <w:qFormat/>
    <w:uiPriority w:val="0"/>
    <w:rPr>
      <w:rFonts w:ascii="Calibri" w:hAnsi="Calibri" w:eastAsia="宋体"/>
      <w:sz w:val="18"/>
      <w:szCs w:val="18"/>
    </w:rPr>
  </w:style>
  <w:style w:type="character" w:customStyle="1" w:styleId="11">
    <w:name w:val="UserStyle_1"/>
    <w:basedOn w:val="7"/>
    <w:link w:val="2"/>
    <w:autoRedefine/>
    <w:qFormat/>
    <w:uiPriority w:val="0"/>
    <w:rPr>
      <w:rFonts w:ascii="Calibri" w:hAnsi="Calibri" w:eastAsia="宋体"/>
      <w:sz w:val="18"/>
      <w:szCs w:val="24"/>
    </w:rPr>
  </w:style>
  <w:style w:type="character" w:customStyle="1" w:styleId="12">
    <w:name w:val="UserStyle_2"/>
    <w:basedOn w:val="7"/>
    <w:link w:val="3"/>
    <w:autoRedefine/>
    <w:qFormat/>
    <w:uiPriority w:val="0"/>
    <w:rPr>
      <w:rFonts w:ascii="Calibri" w:hAnsi="Calibri" w:eastAsia="宋体"/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1551</Words>
  <Characters>1626</Characters>
  <Paragraphs>23</Paragraphs>
  <TotalTime>54</TotalTime>
  <ScaleCrop>false</ScaleCrop>
  <LinksUpToDate>false</LinksUpToDate>
  <CharactersWithSpaces>1639</CharactersWithSpaces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2022-04-23T01:48:00Z</dcterms:created>
  <dc:creator>lenovo</dc:creator>
  <cp:lastModifiedBy>zj</cp:lastModifiedBy>
  <dcterms:modified xsi:type="dcterms:W3CDTF">2024-04-15T08:28:27Z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eyJoZGlkIjoiZjFjZWEzNWMyM2ZiMDYyYjBhZmFmZTc4NmM0YzMyNDIifQ==</vt:lpwstr>
  </property>
  <property fmtid="{D5CDD505-2E9C-101B-9397-08002B2CF9AE}" pid="3" name="KSOProductBuildVer">
    <vt:lpwstr>2052-12.1.0.16417</vt:lpwstr>
  </property>
  <property fmtid="{D5CDD505-2E9C-101B-9397-08002B2CF9AE}" pid="4" name="ICV">
    <vt:lpwstr>23A41791D6C84301B302E7E70148011D</vt:lpwstr>
  </property>
</Properties>
</file>