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883" w:firstLineChars="200"/>
        <w:jc w:val="center"/>
        <w:textAlignment w:val="auto"/>
        <w:rPr>
          <w:rFonts w:hint="eastAsia" w:ascii="方正仿宋简体" w:hAnsi="方正仿宋简体" w:eastAsia="方正仿宋简体" w:cs="方正仿宋简体"/>
          <w:b/>
          <w:bCs/>
          <w:i w:val="0"/>
          <w:iCs w:val="0"/>
          <w:caps w:val="0"/>
          <w:color w:val="auto"/>
          <w:sz w:val="44"/>
          <w:szCs w:val="44"/>
        </w:rPr>
      </w:pPr>
      <w:bookmarkStart w:id="0" w:name="_GoBack"/>
      <w:r>
        <w:rPr>
          <w:rFonts w:hint="eastAsia" w:ascii="方正仿宋简体" w:hAnsi="方正仿宋简体" w:eastAsia="方正仿宋简体" w:cs="方正仿宋简体"/>
          <w:b/>
          <w:bCs/>
          <w:i w:val="0"/>
          <w:iCs w:val="0"/>
          <w:caps w:val="0"/>
          <w:color w:val="auto"/>
          <w:kern w:val="0"/>
          <w:sz w:val="44"/>
          <w:szCs w:val="44"/>
          <w:shd w:val="clear" w:fill="FFFFFF"/>
          <w:lang w:val="en-US" w:eastAsia="zh-CN" w:bidi="ar"/>
        </w:rPr>
        <w:t>幼儿园保育教育质量评估指南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为深入贯彻全国教育大会精神，加快建立健全教育评价制度，促进学前教育高质量发展，根据中共中央、国务院《关于学前教育深化改革规范发展的若干意见》和《深化新时代教育评价改革总体方案》精神，制定本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（一）指导思想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以习近平新时代中国特色社会主义思想为指导，全面贯彻党的教育方针，落实立德树人根本任务，遵循幼儿发展规律和教育规律，完善以促进幼儿身心健康发展为导向的学前教育质量评估体系，切实扭转不科学的评估导向，强化评估结果运用，推动树立科学保育教育理念，全面提高幼儿园保育教育水平，为培养德智体美劳全面发展的社会主义建设者和接班人奠定坚实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（二）基本原则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1. 坚持正确方向。坚持社会主义办园方向，践行为党育人、为国育才使命，树立科学评价导向，推动构建科学保育教育体系，整体提升幼儿园办园水平和保育教育质量。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2. 坚持儿童为本。尊重幼儿年龄特点和成长规律，注重幼儿发展的整体性和连续性，坚持保教结合，以游戏为基本活动，有效促进幼儿身心健康发展。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3. 坚持科学评估。完善评估内容，突出评估重点，改进评估方式，切实扭转“重结果轻过程、重硬件轻内涵、重他评轻自评”等倾向。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4. 坚持以评促建。充分发挥评估的引导、诊断、改进和激励功能，注重过程性、发展性评估，引导办好每一所幼儿园，促进幼儿园安全优质发展。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二、评估内容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坚持以促进幼儿身心健康发展为导向，聚焦幼儿园保育教育过程质量，评估内容主要包括办园方向、保育与安全、教育过程、环境创设、教师队伍等5个方面，共15项关键指标和48个考查要点。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（一）办园方向。包括党建工作、品德启蒙和科学理念等3项关键指标，旨在促进幼儿园全面贯彻党的教育方针，落实立德树人根本任务，强化党组织战斗堡垒作用，树立科学保育教育理念，确保正确办园方向。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二）保育与安全。包括卫生保健、生活照料、安全防护等3项关键指标，旨在促进幼儿园加强膳食营养、疾病预防、健康检查等工作，建立合理的生活常规，强化医护保健人员配备、安全保障和制度落实，确保幼儿生命安全和身心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（三）教育过程。包括活动组织、师幼互动和家园共育等3项关键指标，旨在促进幼儿园坚持以游戏为基本活动，理解尊重幼儿并支持其有意义地学习，强化家园协同育人，不断提高保育教育质量。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四）环境创设。包括空间设施、玩具材料等2项关键指标，旨在促进幼儿园积极创设丰富适宜、富有童趣、有利于支持幼儿学习探索的教育环境，配备数量充足、种类多样的玩教具和图画书，有效支持保育教育工作科学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五）教师队伍。包括师德师风、人员配备、专业发展和激励机制等4项关键指标，旨在促进幼儿园加强教师师德工作，注重教师专业能力建设，提高园长专业领导力，采取有效措施激励教师爱岗敬业、潜心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三、评估方式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（一）注重过程评估。重点关注保育教育过程质量，关注幼儿园提升保教水平的努力程度和改进过程，严禁用直接测查幼儿能力和发展水平的方式评估幼儿园保育教育质量。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二）强化自我评估。幼儿园应建立常态化的自我评估机制，促进教职工主动参与，通过集体诊断，反思自身教育行为，提出改进措施。同时，有效发挥外部评估的导向、激励作用，有针对性地引导幼儿园不断完善自我评估，改进保育教育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三）聚焦班级观察。通过不少于半日的连续自然观察，了解教师与幼儿互动情况，准确判断教师对促进幼儿学习与发展所做的努力与支持，全面、客观、真实地了解幼儿园保育教育过程和质量。外部评估的班级观察采取随机抽取的方式，覆盖面不少于各年龄班级总数的三分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2"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b/>
          <w:bCs/>
          <w:i w:val="0"/>
          <w:iCs w:val="0"/>
          <w:caps w:val="0"/>
          <w:color w:val="auto"/>
          <w:kern w:val="0"/>
          <w:sz w:val="24"/>
          <w:szCs w:val="24"/>
          <w:shd w:val="clear" w:fill="FFFFFF"/>
          <w:lang w:val="en-US" w:eastAsia="zh-CN" w:bidi="ar"/>
        </w:rPr>
        <w:t>四、组织实施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一）加强组织领导。各地要高度重视幼儿园保育教育质量评估工作，将其作为促进学前教育高质量发展、办好人民满意教育的重要举措，纳入本地深化教育评价改革重要内容，建立党委领导、政府教育督导部门牵头、部门协同、多方参与的组织实施机制。各省（区、市）要结合实际，完善本地质量评估具体标准，编制幼儿园保育教育质量自评指导手册，增强质量评估的操作性，确保评估工作有效实施。要逐步将幼儿园保育教育质量评估工作与已经开展的对地方政府履行教育职责评价、学前教育普及普惠督导评估、幼儿园办园行为督导评估等工作统筹实施，避免重复评估，切实减轻基层和幼儿园迎检负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二）明确评估周期。幼儿园每学期开展一次自我评估，教育部门要加强对幼儿园保育教育工作和自评的指导。县级督导评估依据所辖园数和工作需要，原则上每3—5年为一个周期，确保每个周期内覆盖所有幼儿园。省、市结合实际适当开展抽查，具体抽查比例由各省（区、市）自行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三）强化评估保障。各地要为幼儿园保育教育质量评估提供必要的经费保障，支持开展评估研究。要切实加强评估队伍建设，建立一支尊重学前教育规律、熟悉幼儿园保育教育实践、事业心责任感强、相对稳定的专业化评估队伍，评估人员主要由督学、学前教育行政人员、教研人员、园长、骨干教师等组成，强化评估人员专业能力建设。加强对本指南的学习培训，推动幼儿园园长、教师自觉运用对本指南自我反思改进，不断提高保育教育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四）注重激励引导。各地要将幼儿园保育教育质量评估结果作为对幼儿园表彰奖励、政策支持、资源配置、园长考核以及民办园年检、普惠性民办园认定扶持等方面工作的重要依据。对履职不到位、违反有关政策规定、违背幼儿身心发展规律、保教质量持续下滑的幼儿园，要及时督促整改，并视情况依法依规追究责任。要通过幼儿园保育教育质量评估工作，积极推动地方政府履行相应教育职责，为办好学前教育提供充分的条件保障和良好的政策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sz w:val="24"/>
          <w:szCs w:val="24"/>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五）营造良好氛围。要广泛宣传国家关于学前教育改革发展的政策措施，深入解读幼儿园保育教育质量评估的重要意义、内容要求和指标体系，认真总结推广质量评估工作先进典型经验，有效发挥示范引领作用，积极开展国际交流与合作，营造有利于促进学前教育高质量发展的良好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360" w:lineRule="auto"/>
        <w:ind w:left="0" w:firstLine="480" w:firstLineChars="200"/>
        <w:jc w:val="both"/>
        <w:textAlignment w:val="auto"/>
        <w:rPr>
          <w:rFonts w:hint="eastAsia" w:ascii="方正仿宋简体" w:hAnsi="方正仿宋简体" w:eastAsia="方正仿宋简体" w:cs="方正仿宋简体"/>
          <w:i w:val="0"/>
          <w:iCs w:val="0"/>
          <w:caps w:val="0"/>
          <w:color w:val="auto"/>
        </w:rPr>
      </w:pPr>
      <w:r>
        <w:rPr>
          <w:rFonts w:hint="eastAsia" w:ascii="方正仿宋简体" w:hAnsi="方正仿宋简体" w:eastAsia="方正仿宋简体" w:cs="方正仿宋简体"/>
          <w:i w:val="0"/>
          <w:iCs w:val="0"/>
          <w:caps w:val="0"/>
          <w:color w:val="auto"/>
          <w:kern w:val="0"/>
          <w:sz w:val="24"/>
          <w:szCs w:val="24"/>
          <w:shd w:val="clear" w:fill="FFFFFF"/>
          <w:lang w:val="en-US" w:eastAsia="zh-CN" w:bidi="ar"/>
        </w:rPr>
        <w:t>附件：幼儿园保育教育质量评估指标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方正仿宋简体" w:hAnsi="方正仿宋简体" w:eastAsia="方正仿宋简体" w:cs="方正仿宋简体"/>
          <w:color w:val="auto"/>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pPr>
    </w:p>
    <w:p>
      <w:pPr>
        <w:overflowPunct w:val="0"/>
        <w:spacing w:line="600" w:lineRule="exact"/>
        <w:rPr>
          <w:rFonts w:hint="eastAsia" w:ascii="黑体" w:hAnsi="黑体" w:eastAsia="黑体" w:cs="黑体"/>
          <w:color w:val="auto"/>
          <w:sz w:val="32"/>
          <w:szCs w:val="24"/>
        </w:rPr>
        <w:sectPr>
          <w:footerReference r:id="rId3" w:type="default"/>
          <w:pgSz w:w="11906" w:h="16838"/>
          <w:pgMar w:top="1213" w:right="1406" w:bottom="1213" w:left="1406" w:header="851" w:footer="879" w:gutter="0"/>
          <w:cols w:space="0" w:num="1"/>
          <w:docGrid w:type="lines" w:linePitch="312" w:charSpace="0"/>
        </w:sectPr>
      </w:pPr>
    </w:p>
    <w:p>
      <w:pPr>
        <w:overflowPunct w:val="0"/>
        <w:spacing w:line="600" w:lineRule="exact"/>
        <w:rPr>
          <w:rFonts w:ascii="黑体" w:hAnsi="黑体" w:eastAsia="黑体" w:cs="黑体"/>
          <w:color w:val="auto"/>
          <w:sz w:val="32"/>
          <w:szCs w:val="24"/>
        </w:rPr>
      </w:pPr>
      <w:r>
        <w:rPr>
          <w:rFonts w:hint="eastAsia" w:ascii="黑体" w:hAnsi="黑体" w:eastAsia="黑体" w:cs="黑体"/>
          <w:color w:val="auto"/>
          <w:sz w:val="32"/>
          <w:szCs w:val="24"/>
        </w:rPr>
        <w:t>附件</w:t>
      </w:r>
    </w:p>
    <w:p>
      <w:pPr>
        <w:overflowPunct w:val="0"/>
        <w:spacing w:after="156" w:afterLines="50" w:line="600" w:lineRule="exact"/>
        <w:jc w:val="center"/>
        <w:rPr>
          <w:rFonts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幼儿园保育教育质量评估指标</w:t>
      </w:r>
    </w:p>
    <w:tbl>
      <w:tblPr>
        <w:tblStyle w:val="5"/>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115"/>
        <w:gridCol w:w="10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1868" w:type="dxa"/>
            <w:shd w:val="clear" w:color="auto" w:fill="BDD6EE" w:themeFill="accent1" w:themeFillTint="66"/>
            <w:vAlign w:val="center"/>
          </w:tcPr>
          <w:p>
            <w:pPr>
              <w:overflowPunct w:val="0"/>
              <w:spacing w:line="500" w:lineRule="exact"/>
              <w:jc w:val="center"/>
              <w:rPr>
                <w:rFonts w:ascii="Times New Roman" w:hAnsi="Times New Roman" w:eastAsia="仿宋_GB2312"/>
                <w:b/>
                <w:bCs/>
                <w:color w:val="auto"/>
                <w:sz w:val="30"/>
                <w:szCs w:val="30"/>
              </w:rPr>
            </w:pPr>
            <w:r>
              <w:rPr>
                <w:rFonts w:hint="eastAsia" w:ascii="Times New Roman" w:hAnsi="Times New Roman" w:eastAsia="黑体" w:cs="黑体"/>
                <w:color w:val="auto"/>
                <w:sz w:val="30"/>
                <w:szCs w:val="30"/>
              </w:rPr>
              <w:t>重点内容</w:t>
            </w:r>
          </w:p>
        </w:tc>
        <w:tc>
          <w:tcPr>
            <w:tcW w:w="2115" w:type="dxa"/>
            <w:shd w:val="clear" w:color="auto" w:fill="BDD6EE" w:themeFill="accent1" w:themeFillTint="66"/>
            <w:vAlign w:val="center"/>
          </w:tcPr>
          <w:p>
            <w:pPr>
              <w:overflowPunct w:val="0"/>
              <w:snapToGrid w:val="0"/>
              <w:spacing w:line="500" w:lineRule="exact"/>
              <w:jc w:val="center"/>
              <w:rPr>
                <w:rFonts w:ascii="Times New Roman" w:hAnsi="Times New Roman" w:eastAsia="仿宋_GB2312"/>
                <w:b/>
                <w:bCs/>
                <w:color w:val="auto"/>
                <w:sz w:val="30"/>
                <w:szCs w:val="30"/>
              </w:rPr>
            </w:pPr>
            <w:r>
              <w:rPr>
                <w:rFonts w:hint="eastAsia" w:ascii="Times New Roman" w:hAnsi="Times New Roman" w:eastAsia="黑体" w:cs="黑体"/>
                <w:color w:val="auto"/>
                <w:sz w:val="30"/>
                <w:szCs w:val="30"/>
              </w:rPr>
              <w:t>关键指标</w:t>
            </w:r>
          </w:p>
        </w:tc>
        <w:tc>
          <w:tcPr>
            <w:tcW w:w="10657" w:type="dxa"/>
            <w:shd w:val="clear" w:color="auto" w:fill="BDD6EE" w:themeFill="accent1" w:themeFillTint="66"/>
            <w:vAlign w:val="center"/>
          </w:tcPr>
          <w:p>
            <w:pPr>
              <w:overflowPunct w:val="0"/>
              <w:spacing w:line="500" w:lineRule="exact"/>
              <w:jc w:val="center"/>
              <w:rPr>
                <w:rFonts w:ascii="Times New Roman" w:hAnsi="Times New Roman"/>
                <w:b/>
                <w:bCs/>
                <w:color w:val="auto"/>
                <w:sz w:val="30"/>
                <w:szCs w:val="30"/>
              </w:rPr>
            </w:pPr>
            <w:r>
              <w:rPr>
                <w:rFonts w:hint="eastAsia" w:ascii="Times New Roman" w:hAnsi="Times New Roman" w:eastAsia="黑体" w:cs="黑体"/>
                <w:color w:val="auto"/>
                <w:sz w:val="30"/>
                <w:szCs w:val="30"/>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868" w:type="dxa"/>
            <w:vMerge w:val="restart"/>
            <w:vAlign w:val="center"/>
          </w:tcPr>
          <w:p>
            <w:pPr>
              <w:spacing w:line="500" w:lineRule="exact"/>
              <w:jc w:val="left"/>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A1.办园方向</w:t>
            </w: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B1.党建工作</w:t>
            </w:r>
          </w:p>
        </w:tc>
        <w:tc>
          <w:tcPr>
            <w:tcW w:w="10657" w:type="dxa"/>
          </w:tcPr>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健全党组织对幼儿园工作领导的制度机制，以政治建设为统领，加强幼儿园领导班子建设，推进党的工作与保育教育工作紧密融合。</w:t>
            </w:r>
          </w:p>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落实幼儿园党的组织和党的工作全覆盖，加强教师思想政治工作，落实党风廉政建设责任制和意识形态工作责任制，坚持党建带团建，充分发挥工会、共青团等群团组织的作用。</w:t>
            </w:r>
          </w:p>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坚持社会主义办园方向，积极研究制定幼儿园发展规划和年度工作计划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pStyle w:val="7"/>
              <w:numPr>
                <w:ilvl w:val="255"/>
                <w:numId w:val="0"/>
              </w:numPr>
              <w:spacing w:line="500" w:lineRule="exact"/>
              <w:ind w:left="360" w:hanging="360"/>
              <w:rPr>
                <w:rFonts w:ascii="Times New Roman" w:hAnsi="Times New Roman"/>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B2.品德启蒙</w:t>
            </w:r>
          </w:p>
        </w:tc>
        <w:tc>
          <w:tcPr>
            <w:tcW w:w="10657" w:type="dxa"/>
            <w:vAlign w:val="center"/>
          </w:tcPr>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全面贯彻党的教育方针，落实立德树人根本任务，坚持保育教育结合，将培育和践行社会主义核心价值观融入保育教育全过程，注重从小做起、从点滴做起，为培养德智体美劳全面发展的社会主义建设者和接班人奠基。</w:t>
            </w:r>
          </w:p>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注重幼儿良好品德和行为习惯养成，潜移默化贯穿于一日生活和各项活动，创设温暖、关爱、平等的集体生活氛围，建立积极和谐的同伴关系；帮助幼儿学会生活，养成自己的事情自己做的习惯，培育幼儿爱父母长辈、爱老师同伴、爱集体、爱家乡、爱党爱国的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pStyle w:val="7"/>
              <w:numPr>
                <w:ilvl w:val="255"/>
                <w:numId w:val="0"/>
              </w:numPr>
              <w:spacing w:line="500" w:lineRule="exact"/>
              <w:ind w:left="360" w:hanging="360"/>
              <w:rPr>
                <w:rFonts w:ascii="Times New Roman" w:hAnsi="Times New Roman"/>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B3.科学理念</w:t>
            </w:r>
          </w:p>
        </w:tc>
        <w:tc>
          <w:tcPr>
            <w:tcW w:w="10657" w:type="dxa"/>
            <w:vAlign w:val="center"/>
          </w:tcPr>
          <w:p>
            <w:pPr>
              <w:pStyle w:val="7"/>
              <w:numPr>
                <w:ilvl w:val="0"/>
                <w:numId w:val="1"/>
              </w:numPr>
              <w:tabs>
                <w:tab w:val="clear" w:pos="420"/>
              </w:tabs>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遵循幼儿身心发展规律和学前教育规律，尊重幼儿个体差异，坚持以游戏为基本活动，珍视生活和游戏的独特教育价值。</w:t>
            </w:r>
          </w:p>
          <w:p>
            <w:pPr>
              <w:pStyle w:val="7"/>
              <w:numPr>
                <w:ilvl w:val="0"/>
                <w:numId w:val="1"/>
              </w:numPr>
              <w:spacing w:line="500" w:lineRule="exact"/>
              <w:ind w:left="420" w:hangingChars="140"/>
              <w:jc w:val="both"/>
              <w:rPr>
                <w:rFonts w:ascii="Times New Roman" w:hAnsi="Times New Roman" w:cs="仿宋_GB2312"/>
                <w:b/>
                <w:bCs/>
                <w:color w:val="auto"/>
                <w:sz w:val="30"/>
                <w:szCs w:val="30"/>
              </w:rPr>
            </w:pPr>
            <w:r>
              <w:rPr>
                <w:rFonts w:hint="eastAsia" w:ascii="Times New Roman" w:hAnsi="Times New Roman" w:cs="仿宋_GB2312"/>
                <w:color w:val="auto"/>
                <w:sz w:val="30"/>
                <w:szCs w:val="30"/>
              </w:rPr>
              <w:t>充分尊重和保护幼儿的好奇心和探究兴趣，相信每一个幼儿都是积极主动、有能力的学习者，最大限度地支持和满足幼儿通过直接感知、实际操作和亲身体验获取经验的需要。不提前教授小学阶段的课程内容，不搞不切实际的特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868" w:type="dxa"/>
            <w:vMerge w:val="restart"/>
            <w:vAlign w:val="center"/>
          </w:tcPr>
          <w:p>
            <w:pPr>
              <w:spacing w:line="500" w:lineRule="exact"/>
              <w:jc w:val="left"/>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A2</w:t>
            </w:r>
            <w:r>
              <w:rPr>
                <w:rFonts w:ascii="Times New Roman" w:hAnsi="Times New Roman" w:eastAsia="仿宋_GB2312"/>
                <w:b/>
                <w:bCs/>
                <w:color w:val="auto"/>
                <w:sz w:val="30"/>
                <w:szCs w:val="30"/>
              </w:rPr>
              <w:t>.保育与安全</w:t>
            </w: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B4.</w:t>
            </w:r>
            <w:r>
              <w:rPr>
                <w:rFonts w:ascii="Times New Roman" w:hAnsi="Times New Roman" w:eastAsia="仿宋_GB2312"/>
                <w:b/>
                <w:bCs/>
                <w:color w:val="auto"/>
                <w:sz w:val="30"/>
                <w:szCs w:val="30"/>
              </w:rPr>
              <w:t>卫生保健</w:t>
            </w:r>
          </w:p>
        </w:tc>
        <w:tc>
          <w:tcPr>
            <w:tcW w:w="10657" w:type="dxa"/>
            <w:vAlign w:val="center"/>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膳食营养、卫生消毒、疾病预防、健康检查等工作制度和岗位职责健全，并认真抓好落实。</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科学制定带量食谱，确保幼儿膳食营养均衡，引导幼儿养成良好饮食习惯。</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教职工具有传染病防控常识，认真落实传染病报告制度，具备快速应对和防控处置能力。</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按资质要求配备专（兼）职卫生保健人员，认真做好幼儿膳食指导、晨午检和健康观察、疾病预防、幼儿生长发育监测等工作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B5.</w:t>
            </w:r>
            <w:r>
              <w:rPr>
                <w:rFonts w:ascii="Times New Roman" w:hAnsi="Times New Roman" w:eastAsia="仿宋_GB2312"/>
                <w:b/>
                <w:bCs/>
                <w:color w:val="auto"/>
                <w:sz w:val="30"/>
                <w:szCs w:val="30"/>
              </w:rPr>
              <w:t>生活照料</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帮助幼儿建立合理生活常规，引导幼儿根据需要自主饮水、盥洗、如厕、增减衣物等，养成良好的生活卫生习惯。</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指导幼儿进行餐前准备、餐后清洁、图画书与玩具整理等自我服务，引导幼儿养成劳动习惯，增强环保意识、集体责任感。</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制定并实施与幼儿身体发展相适应的体格锻炼计划，保证每天户外活动时间不少于</w:t>
            </w:r>
            <w:r>
              <w:rPr>
                <w:rFonts w:ascii="Times New Roman" w:hAnsi="Times New Roman" w:cs="仿宋_GB2312"/>
                <w:color w:val="auto"/>
                <w:sz w:val="30"/>
                <w:szCs w:val="30"/>
              </w:rPr>
              <w:t>2小时，体育活动时间不少于1小时。</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重视有特殊需要的幼儿，尽可能创造条件让幼儿参与班级的各项活动，同时给予必要的照料。根据需要及时与家长沟通，帮助幼儿获得专业的康复指导与治疗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B6.</w:t>
            </w:r>
            <w:r>
              <w:rPr>
                <w:rFonts w:ascii="Times New Roman" w:hAnsi="Times New Roman" w:eastAsia="仿宋_GB2312"/>
                <w:b/>
                <w:bCs/>
                <w:color w:val="auto"/>
                <w:sz w:val="30"/>
                <w:szCs w:val="30"/>
              </w:rPr>
              <w:t>安全防护</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认真落实幼儿园各项安全管理制度和措施，每学期开学前分析研判潜在的安全风险，有针对性地完善安全管理措施。</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保教人员具有安全保护意识，做好环境、设施设备、玩具材料等方面的日常检查维护，及时消除安全隐患。发生意外时，优先保护幼儿的安全。</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幼儿园切实把安全教育融入幼儿一日生活，帮助幼儿学习判断环境、设施设备和玩具材料可能出现的安全风险，增强安全防范意识，提高自我保护能力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restart"/>
            <w:vAlign w:val="center"/>
          </w:tcPr>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spacing w:line="500" w:lineRule="exact"/>
              <w:rPr>
                <w:rFonts w:ascii="Times New Roman" w:hAnsi="Times New Roman" w:eastAsia="仿宋_GB2312"/>
                <w:b/>
                <w:bCs/>
                <w:color w:val="auto"/>
                <w:sz w:val="30"/>
                <w:szCs w:val="30"/>
              </w:rPr>
            </w:pPr>
          </w:p>
          <w:p>
            <w:pPr>
              <w:pStyle w:val="2"/>
              <w:rPr>
                <w:rFonts w:ascii="Times New Roman" w:hAnsi="Times New Roman" w:eastAsia="仿宋_GB2312"/>
                <w:color w:val="auto"/>
                <w:sz w:val="30"/>
                <w:szCs w:val="30"/>
              </w:rPr>
            </w:pPr>
          </w:p>
          <w:p>
            <w:pPr>
              <w:rPr>
                <w:rFonts w:ascii="Times New Roman" w:hAnsi="Times New Roman" w:eastAsia="仿宋_GB2312"/>
                <w:b/>
                <w:bCs/>
                <w:color w:val="auto"/>
                <w:sz w:val="30"/>
                <w:szCs w:val="30"/>
              </w:rPr>
            </w:pPr>
          </w:p>
          <w:p>
            <w:pPr>
              <w:rPr>
                <w:rFonts w:ascii="Times New Roman" w:hAnsi="Times New Roman" w:eastAsia="仿宋_GB2312"/>
                <w:b/>
                <w:bCs/>
                <w:color w:val="auto"/>
                <w:sz w:val="30"/>
                <w:szCs w:val="30"/>
              </w:rPr>
            </w:pPr>
          </w:p>
          <w:p>
            <w:pPr>
              <w:pStyle w:val="2"/>
              <w:rPr>
                <w:color w:val="auto"/>
              </w:rPr>
            </w:pPr>
          </w:p>
          <w:p>
            <w:pPr>
              <w:spacing w:line="500" w:lineRule="exact"/>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A3.教育过程</w:t>
            </w:r>
          </w:p>
        </w:tc>
        <w:tc>
          <w:tcPr>
            <w:tcW w:w="2115" w:type="dxa"/>
            <w:vAlign w:val="center"/>
          </w:tcPr>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pStyle w:val="2"/>
              <w:rPr>
                <w:color w:val="auto"/>
              </w:rPr>
            </w:pPr>
          </w:p>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B7.活动组织</w:t>
            </w:r>
          </w:p>
        </w:tc>
        <w:tc>
          <w:tcPr>
            <w:tcW w:w="10657" w:type="dxa"/>
            <w:vAlign w:val="center"/>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认真按照《幼儿园教育指导纲要》《3</w:t>
            </w:r>
            <w:r>
              <w:rPr>
                <w:rFonts w:hint="eastAsia" w:ascii="仿宋_GB2312" w:hAnsi="仿宋_GB2312" w:cs="仿宋_GB2312"/>
                <w:color w:val="auto"/>
                <w:kern w:val="0"/>
                <w:szCs w:val="32"/>
              </w:rPr>
              <w:t>—</w:t>
            </w:r>
            <w:r>
              <w:rPr>
                <w:rFonts w:hint="eastAsia" w:ascii="Times New Roman" w:hAnsi="Times New Roman" w:cs="仿宋_GB2312"/>
                <w:color w:val="auto"/>
                <w:sz w:val="30"/>
                <w:szCs w:val="30"/>
              </w:rPr>
              <w:t>6岁儿童学习与发展指南》要求，结合本园、班实际，每学期、每周制定科学合理的班级保教计划</w:t>
            </w:r>
            <w:r>
              <w:rPr>
                <w:rFonts w:ascii="Times New Roman" w:hAnsi="Times New Roman" w:cs="仿宋_GB2312"/>
                <w:color w:val="auto"/>
                <w:sz w:val="30"/>
                <w:szCs w:val="30"/>
              </w:rPr>
              <w:t>。</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一日活动安排相对稳定合理，并能根据幼儿的年龄特点、个体差异和活动需要做出灵活调整，避免活动安排频繁转换、幼儿消极等待。</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以游戏为基本活动，确保幼儿每天有充分的自主游戏时间，因地制宜为幼儿创设游戏环境，提供丰富适宜的游戏材料，支持幼儿探究、试错、重复等行为，与幼儿一起分享游戏经验。</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发现和支持幼儿有意义的学习，采用小组或集体的形式讨论幼儿感兴趣的话题，鼓励幼儿表达自己的观点，提出问题、分析解决问题，拓展提升幼儿日常生活和游戏中的经验。</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关注幼儿学习与发展的整体性，注重健康、语言、社会、科学、艺术等各领域有机整合，促进幼儿智力和非智力因素协调发展，寓教育于生活和游戏中。</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关注幼儿发展的连续性，注重幼小科学衔接。大班下学期采取多种形式，有针对性地帮助幼儿做好身心、生活、社会和学习等多方面的准备，建立对小学的积极期待和向往，促进幼儿顺利过渡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B8.师幼互动</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教师保持积极乐观愉快的情绪状态，以亲切和蔼、支持性的态度和行为与幼儿互动，平等对待每一名幼儿。幼儿在一日活动中是自信、从容的，能放心大胆地表达真实情绪和不同观点。</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支持幼儿自主选择游戏材料、同伴和玩法，支持幼儿参与一日生活中与自己有关的决策。</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认真观察幼儿在各类活动中的行为表现并做必要记录，根据一段时间的持续观察，对幼儿的发展情况和需要做出客观全面的分析，提供有针对性地支持。不急于介入或干扰幼儿的活动。</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重视幼儿通过绘画、讲述等方式对自己经历过的游戏、阅读图画书、观察等活动进行表达表征，教师能一对一倾听并真实记录幼儿的想法和体验。</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善于发现各种偶发的教育契机，能抓住活动中幼儿感兴趣或有意义的问题和情境，能识别幼儿以新的方式主动学习，及时给予有效支持。</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尊重并回应幼儿的想法与问题，通过开放性提问、推测、讨论等方式，支持和拓展每一个幼儿的学习。</w:t>
            </w:r>
          </w:p>
          <w:p>
            <w:pPr>
              <w:pStyle w:val="7"/>
              <w:numPr>
                <w:ilvl w:val="0"/>
                <w:numId w:val="1"/>
              </w:numPr>
              <w:spacing w:line="500" w:lineRule="exact"/>
              <w:ind w:left="420" w:hangingChars="140"/>
              <w:jc w:val="both"/>
              <w:rPr>
                <w:rFonts w:ascii="Times New Roman" w:hAnsi="Times New Roman" w:cs="仿宋_GB2312"/>
                <w:b/>
                <w:bCs/>
                <w:color w:val="auto"/>
                <w:sz w:val="30"/>
                <w:szCs w:val="30"/>
              </w:rPr>
            </w:pPr>
            <w:r>
              <w:rPr>
                <w:rFonts w:hint="eastAsia" w:ascii="Times New Roman" w:hAnsi="Times New Roman" w:cs="仿宋_GB2312"/>
                <w:color w:val="auto"/>
                <w:sz w:val="30"/>
                <w:szCs w:val="30"/>
              </w:rPr>
              <w:t>理解幼儿在</w:t>
            </w:r>
            <w:r>
              <w:rPr>
                <w:rFonts w:hint="eastAsia" w:ascii="Times New Roman" w:hAnsi="Times New Roman" w:cs="仿宋_GB2312"/>
                <w:color w:val="auto"/>
                <w:sz w:val="30"/>
                <w:szCs w:val="30"/>
              </w:rPr>
              <w:t>健康</w:t>
            </w:r>
            <w:r>
              <w:rPr>
                <w:rFonts w:hint="eastAsia" w:ascii="Times New Roman" w:hAnsi="Times New Roman" w:cs="仿宋_GB2312"/>
                <w:color w:val="auto"/>
                <w:sz w:val="30"/>
                <w:szCs w:val="30"/>
              </w:rPr>
              <w:t>、语言、社会、科学、艺术等各领域的学习方式，尊重幼儿发展的个体差异，发现每个幼儿的优势和长处，促进幼儿在原有水平上的发展。不片面追求某一领域、某一方面的学习和发展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B9.家园共育</w:t>
            </w:r>
          </w:p>
        </w:tc>
        <w:tc>
          <w:tcPr>
            <w:tcW w:w="10657" w:type="dxa"/>
            <w:vAlign w:val="center"/>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幼儿园与家长建立平等互信关系，教师及时与家长分享幼儿的成长和进步，了解幼儿在家庭中的表现，认真倾听家长的意见建议。</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家长有机会体验幼儿园的生活，参与幼儿园管理，引导家长理解教师工作对幼儿成长的价值，尊重教师的专业性，积极参与并支持幼儿园的工作，成为幼儿园的合作伙伴。</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幼儿园通过家长会、家长开放日等多种途径，向家长宣传科学育儿理念和知识，为家长提供分享交流育儿经验的机会，帮助家长解决育儿困惑。</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幼儿园与家庭、社区密切合作，积极构建协同育人机制，充分利用自然、社会和文化资源，共同创设良好的育人环境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restart"/>
            <w:vAlign w:val="center"/>
          </w:tcPr>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pStyle w:val="2"/>
              <w:rPr>
                <w:color w:val="auto"/>
              </w:rPr>
            </w:pPr>
          </w:p>
          <w:p>
            <w:pPr>
              <w:spacing w:line="500" w:lineRule="exact"/>
              <w:jc w:val="left"/>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A4.</w:t>
            </w:r>
            <w:r>
              <w:rPr>
                <w:rFonts w:ascii="Times New Roman" w:hAnsi="Times New Roman" w:eastAsia="仿宋_GB2312"/>
                <w:b/>
                <w:bCs/>
                <w:color w:val="auto"/>
                <w:sz w:val="30"/>
                <w:szCs w:val="30"/>
              </w:rPr>
              <w:t>环境</w:t>
            </w:r>
            <w:r>
              <w:rPr>
                <w:rFonts w:hint="eastAsia" w:ascii="Times New Roman" w:hAnsi="Times New Roman" w:eastAsia="仿宋_GB2312"/>
                <w:b/>
                <w:bCs/>
                <w:color w:val="auto"/>
                <w:sz w:val="30"/>
                <w:szCs w:val="30"/>
              </w:rPr>
              <w:t>创设</w:t>
            </w:r>
          </w:p>
        </w:tc>
        <w:tc>
          <w:tcPr>
            <w:tcW w:w="2115" w:type="dxa"/>
            <w:vAlign w:val="center"/>
          </w:tcPr>
          <w:p>
            <w:pPr>
              <w:spacing w:line="500" w:lineRule="exact"/>
              <w:jc w:val="center"/>
              <w:rPr>
                <w:rFonts w:ascii="Times New Roman" w:hAnsi="Times New Roman" w:eastAsia="仿宋_GB2312" w:cs="Times New Roman"/>
                <w:b/>
                <w:bCs/>
                <w:color w:val="auto"/>
                <w:sz w:val="30"/>
                <w:szCs w:val="30"/>
              </w:rPr>
            </w:pPr>
          </w:p>
          <w:p>
            <w:pPr>
              <w:spacing w:line="500" w:lineRule="exact"/>
              <w:jc w:val="center"/>
              <w:rPr>
                <w:rFonts w:ascii="Times New Roman" w:hAnsi="Times New Roman" w:eastAsia="仿宋_GB2312" w:cs="Times New Roman"/>
                <w:b/>
                <w:bCs/>
                <w:color w:val="auto"/>
                <w:sz w:val="30"/>
                <w:szCs w:val="30"/>
              </w:rPr>
            </w:pPr>
          </w:p>
          <w:p>
            <w:pPr>
              <w:spacing w:line="500" w:lineRule="exact"/>
              <w:jc w:val="center"/>
              <w:rPr>
                <w:rFonts w:ascii="Times New Roman" w:hAnsi="Times New Roman" w:eastAsia="仿宋_GB2312" w:cs="Times New Roman"/>
                <w:b/>
                <w:bCs/>
                <w:color w:val="auto"/>
                <w:sz w:val="30"/>
                <w:szCs w:val="30"/>
              </w:rPr>
            </w:pPr>
          </w:p>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cs="Times New Roman"/>
                <w:b/>
                <w:bCs/>
                <w:color w:val="auto"/>
                <w:sz w:val="30"/>
                <w:szCs w:val="30"/>
              </w:rPr>
              <w:t>B10.空间设施</w:t>
            </w:r>
          </w:p>
        </w:tc>
        <w:tc>
          <w:tcPr>
            <w:tcW w:w="10657" w:type="dxa"/>
            <w:vAlign w:val="center"/>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幼儿园规模与班额符合国家和地方相关规定，合理规划并灵活调整室内外空间布局，最大限度地满足幼儿游戏活动的需要。除综合活动室外，不追求设置专门的功能室，避免奢华浪费和形式主义。</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各类设施设备安全、环保，符合幼儿的年龄特点，方便幼儿使用和取放，满足幼儿逐步增长的独立活动需要。提供必要的遮阳遮雨设施设备，确保特殊天气条件下幼儿必要的户外活动能正常开展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cs="Times New Roman"/>
                <w:b/>
                <w:bCs/>
                <w:color w:val="auto"/>
                <w:sz w:val="30"/>
                <w:szCs w:val="30"/>
              </w:rPr>
              <w:t>B11.玩具材料</w:t>
            </w:r>
          </w:p>
        </w:tc>
        <w:tc>
          <w:tcPr>
            <w:tcW w:w="10657" w:type="dxa"/>
            <w:vAlign w:val="center"/>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玩具材料种类丰富，数量充足，以低结构材料为主，</w:t>
            </w:r>
            <w:r>
              <w:rPr>
                <w:rFonts w:hint="eastAsia" w:ascii="Times New Roman" w:hAnsi="Times New Roman" w:cs="仿宋_GB2312"/>
                <w:color w:val="auto"/>
                <w:sz w:val="30"/>
                <w:szCs w:val="30"/>
              </w:rPr>
              <w:t>能够保证多名幼儿同时游戏的需要。</w:t>
            </w:r>
            <w:r>
              <w:rPr>
                <w:rFonts w:hint="eastAsia" w:ascii="Times New Roman" w:hAnsi="Times New Roman" w:cs="仿宋_GB2312"/>
                <w:color w:val="auto"/>
                <w:sz w:val="30"/>
                <w:szCs w:val="30"/>
              </w:rPr>
              <w:t>尽可能减少幼儿使用电子设备。</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配备的图画书应符合幼儿年龄特点和认知水平，注重体现中华优秀传统文化和现代生活特色，富有教育意义。人均数量不少于10册，每班复本量不超过5册，并根据需要及时调整更新。幼儿园不得使用幼儿教材和境外课程，防止存在意识形态和宗教等渗透的图画书进入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restart"/>
            <w:vAlign w:val="center"/>
          </w:tcPr>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spacing w:line="500" w:lineRule="exact"/>
              <w:jc w:val="left"/>
              <w:rPr>
                <w:rFonts w:ascii="Times New Roman" w:hAnsi="Times New Roman" w:eastAsia="仿宋_GB2312"/>
                <w:b/>
                <w:bCs/>
                <w:color w:val="auto"/>
                <w:sz w:val="30"/>
                <w:szCs w:val="30"/>
              </w:rPr>
            </w:pPr>
          </w:p>
          <w:p>
            <w:pPr>
              <w:pStyle w:val="2"/>
              <w:rPr>
                <w:rFonts w:ascii="Times New Roman" w:hAnsi="Times New Roman" w:eastAsia="仿宋_GB2312"/>
                <w:color w:val="auto"/>
                <w:sz w:val="30"/>
                <w:szCs w:val="30"/>
              </w:rPr>
            </w:pPr>
          </w:p>
          <w:p>
            <w:pPr>
              <w:rPr>
                <w:rFonts w:ascii="Times New Roman" w:hAnsi="Times New Roman" w:eastAsia="仿宋_GB2312"/>
                <w:b/>
                <w:bCs/>
                <w:color w:val="auto"/>
                <w:sz w:val="30"/>
                <w:szCs w:val="30"/>
              </w:rPr>
            </w:pPr>
          </w:p>
          <w:p>
            <w:pPr>
              <w:pStyle w:val="2"/>
              <w:rPr>
                <w:color w:val="auto"/>
              </w:rPr>
            </w:pPr>
          </w:p>
          <w:p>
            <w:pPr>
              <w:spacing w:line="500" w:lineRule="exact"/>
              <w:jc w:val="left"/>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A5.教师队伍</w:t>
            </w:r>
          </w:p>
        </w:tc>
        <w:tc>
          <w:tcPr>
            <w:tcW w:w="2115" w:type="dxa"/>
            <w:vAlign w:val="center"/>
          </w:tcPr>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B12.</w:t>
            </w:r>
            <w:r>
              <w:rPr>
                <w:rFonts w:ascii="Times New Roman" w:hAnsi="Times New Roman" w:eastAsia="仿宋_GB2312"/>
                <w:b/>
                <w:bCs/>
                <w:color w:val="auto"/>
                <w:sz w:val="30"/>
                <w:szCs w:val="30"/>
              </w:rPr>
              <w:t>师德师风</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教职工有坚定的政治信仰，按照“四有”好教师标准履行幼儿园教师职业道德规范，爱岗敬业，关爱幼儿，严格自律，没有歧视、侮辱、体罚或变相体罚等有损幼儿身心健康的行为。</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关心教职工思想状况，加强人文关怀，帮助解决教职工思想问题与实际困难，促进教职工身心健康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p>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B13.人员配备</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幼儿园教职工按国家和地方相关要求配备到位，并做到持证上岗，无岗位空缺和无证上岗情况。</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幼儿园教师符合专业标准要求，保育员受过幼儿保育职业培训，保教人员熟知学前儿童身心发展规律，具有较强的保育教育实践能力。园长应具有五年以上幼儿园教师或者幼儿园管理工作经历，具有较强的专业领导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B14.</w:t>
            </w:r>
            <w:r>
              <w:rPr>
                <w:rFonts w:ascii="Times New Roman" w:hAnsi="Times New Roman" w:eastAsia="仿宋_GB2312"/>
                <w:b/>
                <w:bCs/>
                <w:color w:val="auto"/>
                <w:sz w:val="30"/>
                <w:szCs w:val="30"/>
              </w:rPr>
              <w:t>专业发展</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园长能与教职工共同研究制订符合教职工自身特点的专业发展规划，提供发展空间，支持他们有计划地达成专业发展目标。</w:t>
            </w:r>
          </w:p>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制订合理的教研制度并有效落实，教研工作聚焦解决保育教育实践中的困惑和问题，</w:t>
            </w:r>
            <w:r>
              <w:rPr>
                <w:rFonts w:hint="eastAsia" w:ascii="Times New Roman" w:hAnsi="Times New Roman" w:cs="仿宋_GB2312"/>
                <w:color w:val="auto"/>
                <w:sz w:val="30"/>
                <w:szCs w:val="30"/>
              </w:rPr>
              <w:t>注重激发教师积极主动反思，提高教师实践能力，增强教师专业自信。</w:t>
            </w:r>
          </w:p>
          <w:p>
            <w:pPr>
              <w:pStyle w:val="7"/>
              <w:numPr>
                <w:ilvl w:val="0"/>
                <w:numId w:val="1"/>
              </w:numPr>
              <w:spacing w:line="500" w:lineRule="exact"/>
              <w:ind w:left="420" w:hangingChars="140"/>
              <w:jc w:val="both"/>
              <w:rPr>
                <w:rFonts w:ascii="Times New Roman" w:hAnsi="Times New Roman" w:cs="仿宋_GB2312"/>
                <w:b/>
                <w:bCs/>
                <w:color w:val="auto"/>
                <w:sz w:val="30"/>
                <w:szCs w:val="30"/>
              </w:rPr>
            </w:pPr>
            <w:r>
              <w:rPr>
                <w:rFonts w:hint="eastAsia" w:ascii="Times New Roman" w:hAnsi="Times New Roman" w:cs="仿宋_GB2312"/>
                <w:color w:val="auto"/>
                <w:sz w:val="30"/>
                <w:szCs w:val="30"/>
              </w:rPr>
              <w:t>园长能深入班级了解一日活动和师幼互动过程，</w:t>
            </w:r>
            <w:r>
              <w:rPr>
                <w:rFonts w:hint="eastAsia" w:ascii="Times New Roman" w:hAnsi="Times New Roman" w:cs="仿宋_GB2312"/>
                <w:color w:val="auto"/>
                <w:sz w:val="30"/>
                <w:szCs w:val="30"/>
              </w:rPr>
              <w:t>共同研究保育教育实践问题，形成协同学习、相互支持的良好氛围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1868" w:type="dxa"/>
            <w:vMerge w:val="continue"/>
            <w:vAlign w:val="center"/>
          </w:tcPr>
          <w:p>
            <w:pPr>
              <w:spacing w:line="500" w:lineRule="exact"/>
              <w:jc w:val="left"/>
              <w:rPr>
                <w:rFonts w:ascii="Times New Roman" w:hAnsi="Times New Roman" w:eastAsia="仿宋_GB2312"/>
                <w:b/>
                <w:bCs/>
                <w:color w:val="auto"/>
                <w:sz w:val="30"/>
                <w:szCs w:val="30"/>
              </w:rPr>
            </w:pPr>
          </w:p>
        </w:tc>
        <w:tc>
          <w:tcPr>
            <w:tcW w:w="2115" w:type="dxa"/>
            <w:vAlign w:val="center"/>
          </w:tcPr>
          <w:p>
            <w:pPr>
              <w:spacing w:line="500" w:lineRule="exact"/>
              <w:jc w:val="center"/>
              <w:rPr>
                <w:rFonts w:ascii="Times New Roman" w:hAnsi="Times New Roman" w:eastAsia="仿宋_GB2312"/>
                <w:b/>
                <w:bCs/>
                <w:color w:val="auto"/>
                <w:sz w:val="30"/>
                <w:szCs w:val="30"/>
              </w:rPr>
            </w:pPr>
            <w:r>
              <w:rPr>
                <w:rFonts w:hint="eastAsia" w:ascii="Times New Roman" w:hAnsi="Times New Roman" w:eastAsia="仿宋_GB2312"/>
                <w:b/>
                <w:bCs/>
                <w:color w:val="auto"/>
                <w:sz w:val="30"/>
                <w:szCs w:val="30"/>
              </w:rPr>
              <w:t>B15.</w:t>
            </w:r>
            <w:r>
              <w:rPr>
                <w:rFonts w:hint="eastAsia" w:ascii="Times New Roman" w:hAnsi="Times New Roman" w:eastAsia="仿宋_GB2312" w:cs="仿宋_GB2312"/>
                <w:b/>
                <w:bCs/>
                <w:color w:val="auto"/>
                <w:sz w:val="30"/>
                <w:szCs w:val="30"/>
              </w:rPr>
              <w:t>激励机制</w:t>
            </w:r>
          </w:p>
        </w:tc>
        <w:tc>
          <w:tcPr>
            <w:tcW w:w="10657" w:type="dxa"/>
          </w:tcPr>
          <w:p>
            <w:pPr>
              <w:pStyle w:val="7"/>
              <w:numPr>
                <w:ilvl w:val="0"/>
                <w:numId w:val="1"/>
              </w:numPr>
              <w:spacing w:line="500" w:lineRule="exact"/>
              <w:ind w:left="420" w:hangingChars="140"/>
              <w:jc w:val="both"/>
              <w:rPr>
                <w:rFonts w:ascii="Times New Roman" w:hAnsi="Times New Roman" w:cs="仿宋_GB2312"/>
                <w:color w:val="auto"/>
                <w:sz w:val="30"/>
                <w:szCs w:val="30"/>
              </w:rPr>
            </w:pPr>
            <w:r>
              <w:rPr>
                <w:rFonts w:hint="eastAsia" w:ascii="Times New Roman" w:hAnsi="Times New Roman" w:cs="仿宋_GB2312"/>
                <w:color w:val="auto"/>
                <w:sz w:val="30"/>
                <w:szCs w:val="30"/>
              </w:rPr>
              <w:t>树立正确激励导向，突出日常保育教育实践成效，克服唯课题、唯论文等倾向，注重通过表彰奖励、薪酬待遇、职称评定、岗位晋升、专业支持等多种方式，激励教师爱岗敬业、潜心育人。</w:t>
            </w:r>
          </w:p>
          <w:p>
            <w:pPr>
              <w:pStyle w:val="7"/>
              <w:numPr>
                <w:ilvl w:val="0"/>
                <w:numId w:val="1"/>
              </w:numPr>
              <w:spacing w:line="500" w:lineRule="exact"/>
              <w:ind w:left="428" w:hanging="429" w:hangingChars="146"/>
              <w:jc w:val="both"/>
              <w:rPr>
                <w:rFonts w:ascii="Times New Roman" w:hAnsi="Times New Roman" w:cs="仿宋_GB2312"/>
                <w:color w:val="auto"/>
                <w:sz w:val="30"/>
                <w:szCs w:val="30"/>
              </w:rPr>
            </w:pPr>
            <w:r>
              <w:rPr>
                <w:rFonts w:hint="eastAsia" w:ascii="Times New Roman" w:hAnsi="Times New Roman" w:cs="仿宋_GB2312"/>
                <w:color w:val="auto"/>
                <w:w w:val="98"/>
                <w:sz w:val="30"/>
                <w:szCs w:val="30"/>
              </w:rPr>
              <w:t>善于倾听、理解教职工的所思所做，发现和肯定每一名教职工的闪光点和成长进步，教职工能够感受到来自园长和同事的关心与支持，有归属感和幸福感</w:t>
            </w:r>
          </w:p>
        </w:tc>
      </w:tr>
    </w:tbl>
    <w:p>
      <w:pPr>
        <w:rPr>
          <w:color w:val="auto"/>
        </w:rPr>
      </w:pPr>
    </w:p>
    <w:bookmarkEnd w:id="0"/>
    <w:sectPr>
      <w:pgSz w:w="16838" w:h="11906" w:orient="landscape"/>
      <w:pgMar w:top="1406" w:right="1213" w:bottom="1406" w:left="1213" w:header="851" w:footer="879"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60325" cy="154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euvrU0QAAAAIBAAAPAAAAAAAAAAEAIAAAACIAAABkcnMvZG93bnJldi54bWxQSwECFAAUAAAA&#10;CACHTuJAfZ8WXS4CAABSBAAADgAAAAAAAAABACAAAAAgAQAAZHJzL2Uyb0RvYy54bWxQSwUGAAAA&#10;AAYABgBZAQAAwAUAAAAA&#10;">
              <v:fill on="f" focussize="0,0"/>
              <v:stroke on="f" weight="0.5pt"/>
              <v:imagedata o:title=""/>
              <o:lock v:ext="edit" aspectratio="f"/>
              <v:textbox inset="0mm,0mm,0mm,0mm" style="mso-fit-shape-to-text:t;">
                <w:txbxContent>
                  <w:p>
                    <w:pPr>
                      <w:pStyle w:val="3"/>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E4861"/>
    <w:multiLevelType w:val="multilevel"/>
    <w:tmpl w:val="645E4861"/>
    <w:lvl w:ilvl="0" w:tentative="0">
      <w:start w:val="1"/>
      <w:numFmt w:val="decimal"/>
      <w:lvlText w:val="%1."/>
      <w:lvlJc w:val="left"/>
      <w:pPr>
        <w:tabs>
          <w:tab w:val="left" w:pos="420"/>
        </w:tabs>
        <w:ind w:left="1052" w:hanging="420"/>
      </w:pPr>
      <w:rPr>
        <w:rFonts w:hint="default" w:ascii="Times New Roman" w:hAnsi="Times New Roman" w:eastAsia="仿宋_GB2312" w:cs="Times New Roman"/>
        <w:b w:val="0"/>
        <w:bCs w:val="0"/>
        <w:sz w:val="30"/>
        <w:szCs w:val="30"/>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2Y1NTUwZGNkMjNiMGE3YWRhMzFmYjJmZmViMWYifQ=="/>
  </w:docVars>
  <w:rsids>
    <w:rsidRoot w:val="2E973350"/>
    <w:rsid w:val="2E973350"/>
    <w:rsid w:val="4F9D659F"/>
    <w:rsid w:val="5C7D7DA9"/>
    <w:rsid w:val="65372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Lines/>
      <w:spacing w:before="120" w:after="120"/>
      <w:outlineLvl w:val="1"/>
    </w:pPr>
    <w:rPr>
      <w:rFonts w:asciiTheme="majorHAnsi" w:hAnsiTheme="majorHAnsi" w:cstheme="majorBidi"/>
      <w:b/>
      <w:bCs/>
      <w:szCs w:val="32"/>
    </w:rPr>
  </w:style>
  <w:style w:type="character" w:default="1" w:styleId="6">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autoRedefine/>
    <w:qFormat/>
    <w:uiPriority w:val="34"/>
    <w:pPr>
      <w:spacing w:line="600" w:lineRule="atLeast"/>
      <w:ind w:firstLine="420" w:firstLineChars="200"/>
      <w:jc w:val="left"/>
    </w:pPr>
    <w:rPr>
      <w:rFonts w:ascii="Calibri" w:hAnsi="Calibri" w:eastAsia="仿宋_GB2312" w:cs="Times New Roman"/>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2022-02-19T12:05:00Z</dcterms:created>
  <dc:creator>╱/.尐詠逺oоΟ</dc:creator>
  <cp:lastModifiedBy>杨晓利</cp:lastModifiedBy>
  <dcterms:modified xsi:type="dcterms:W3CDTF">2024-03-28T01:22:55Z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176A9929824E4541BEC0E06086747288</vt:lpwstr>
  </property>
</Properties>
</file>