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成都市双流区教育科学研究院</w:t>
      </w:r>
    </w:p>
    <w:p>
      <w:pPr>
        <w:keepNext w:val="0"/>
        <w:keepLines w:val="0"/>
        <w:widowControl/>
        <w:suppressLineNumbers w:val="0"/>
        <w:jc w:val="center"/>
        <w:rPr>
          <w:rFonts w:hint="eastAsia" w:ascii="方正小标宋_GBK" w:hAnsi="方正小标宋_GBK" w:eastAsia="方正小标宋_GBK" w:cs="方正小标宋_GBK"/>
          <w:color w:val="000000"/>
          <w:kern w:val="0"/>
          <w:sz w:val="36"/>
          <w:szCs w:val="36"/>
          <w:lang w:val="en-US" w:eastAsia="zh-CN" w:bidi="ar"/>
        </w:rPr>
      </w:pPr>
      <w:r>
        <w:rPr>
          <w:rFonts w:hint="eastAsia" w:ascii="方正小标宋_GBK" w:hAnsi="方正小标宋_GBK" w:eastAsia="方正小标宋_GBK" w:cs="方正小标宋_GBK"/>
          <w:color w:val="000000"/>
          <w:kern w:val="0"/>
          <w:sz w:val="36"/>
          <w:szCs w:val="36"/>
          <w:lang w:val="en-US" w:eastAsia="zh-CN" w:bidi="ar"/>
        </w:rPr>
        <w:t>关于举办第二届小学思政教研组集体备课大赛的通知</w:t>
      </w:r>
    </w:p>
    <w:p>
      <w:pPr>
        <w:keepNext w:val="0"/>
        <w:keepLines w:val="0"/>
        <w:widowControl/>
        <w:suppressLineNumbers w:val="0"/>
        <w:jc w:val="left"/>
        <w:rPr>
          <w:rFonts w:hint="eastAsia" w:ascii="方正仿宋_GBK" w:hAnsi="方正仿宋_GBK" w:eastAsia="方正仿宋_GBK" w:cs="方正仿宋_GBK"/>
          <w:color w:val="000000"/>
          <w:kern w:val="0"/>
          <w:sz w:val="28"/>
          <w:szCs w:val="28"/>
          <w:lang w:val="en-US" w:eastAsia="zh-CN" w:bidi="ar"/>
        </w:rPr>
      </w:pP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各小学（含九义学校小学部）：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思政课是落实立德树人根本任务的关键课程”。为进一步贯彻落实《关于深化新时代学校思想政治理论课改革创新的若干意见》《关于加强新时代中小学思想政治理论课教师队伍建设的意见》和《成都市教育科学研究院关于举办第二届小学思政教研组集体备课大赛的通知 》等文件中的相关要求，聚焦和促进小学思政课堂教学落细落实，促进我区小学思政教研组建设的内涵发展，经研究决定举办“成都市双流区第二届小学思政教研组集体备课大赛”。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bCs/>
          <w:color w:val="000000"/>
          <w:kern w:val="0"/>
          <w:sz w:val="28"/>
          <w:szCs w:val="28"/>
          <w:lang w:val="en-US" w:eastAsia="zh-CN" w:bidi="ar"/>
        </w:rPr>
        <w:t>一、组织领导</w:t>
      </w:r>
      <w:r>
        <w:rPr>
          <w:rFonts w:hint="eastAsia" w:ascii="方正黑体_GBK" w:hAnsi="方正黑体_GBK" w:eastAsia="方正黑体_GBK" w:cs="方正黑体_GBK"/>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本次大赛由成都市双流区教育科学研究院主办，各小学协办，优秀成果展示阶段由具体相关学校协办。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b/>
          <w:bCs/>
          <w:color w:val="000000"/>
          <w:kern w:val="0"/>
          <w:sz w:val="28"/>
          <w:szCs w:val="28"/>
          <w:lang w:val="en-US" w:eastAsia="zh-CN" w:bidi="ar"/>
        </w:rPr>
      </w:pPr>
      <w:r>
        <w:rPr>
          <w:rFonts w:hint="eastAsia" w:ascii="方正黑体_GBK" w:hAnsi="方正黑体_GBK" w:eastAsia="方正黑体_GBK" w:cs="方正黑体_GBK"/>
          <w:b/>
          <w:bCs/>
          <w:color w:val="000000"/>
          <w:kern w:val="0"/>
          <w:sz w:val="28"/>
          <w:szCs w:val="28"/>
          <w:lang w:val="en-US" w:eastAsia="zh-CN" w:bidi="ar"/>
        </w:rPr>
        <w:t>二、选题范围</w:t>
      </w:r>
      <w:r>
        <w:rPr>
          <w:rFonts w:hint="eastAsia" w:ascii="方正仿宋_GBK" w:hAnsi="方正仿宋_GBK" w:eastAsia="方正仿宋_GBK" w:cs="方正仿宋_GBK"/>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（一）优质课选题：在小学《习近平新时代中国特色社会主义思想学生读本》中任选一讲，小学低年级原则上每框题1课时，小学高年级原则上每讲1课时。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（二）时政述评选题：结合小学生学段身心发展特征和思政课程中的相关内容，自选时政话题进行述评。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黑体_GBK" w:hAnsi="方正黑体_GBK" w:eastAsia="方正黑体_GBK" w:cs="方正黑体_GBK"/>
          <w:b/>
          <w:bCs/>
          <w:color w:val="000000"/>
          <w:kern w:val="0"/>
          <w:sz w:val="28"/>
          <w:szCs w:val="28"/>
          <w:lang w:val="en-US" w:eastAsia="zh-CN" w:bidi="ar"/>
        </w:rPr>
      </w:pPr>
      <w:r>
        <w:rPr>
          <w:rFonts w:hint="eastAsia" w:ascii="方正黑体_GBK" w:hAnsi="方正黑体_GBK" w:eastAsia="方正黑体_GBK" w:cs="方正黑体_GBK"/>
          <w:b/>
          <w:bCs/>
          <w:color w:val="000000"/>
          <w:kern w:val="0"/>
          <w:sz w:val="28"/>
          <w:szCs w:val="28"/>
          <w:lang w:val="en-US" w:eastAsia="zh-CN" w:bidi="ar"/>
        </w:rPr>
        <w:t xml:space="preserve">三、具体安排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（一）大赛组织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本次大赛包括学校初赛、区级决赛两个环节。学校将初赛后，每校推荐一组集体备课成果报送双流区教科院组织决赛。双流区教科院择优推荐3所学校的集体备课成果参加市级决赛。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（二）成果形式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1. 优质课视频（前40分钟）+说课视频（后5分钟）、教学设计（详案格式见附件1）、PPT、其它相关音视频等教学资源。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2. 集体备课展示视频（20分钟）、ppt、文稿：呈现教研组围绕本次大赛开展集体备课的过程和备课取得的成果，由该校小学道德与法治教研组组长进行展示与解读。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3. 时政述评视频（10～15分钟）、时政述评文稿（格式见附件2）、PPT、其它相关音视频等教学资源。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（三）材料提交时间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请各学校2024年10月18日前将每所推荐学校的成果，包括参赛信息汇总表（附件3）、三个视频、相应教学资源包和文稿用U盘交成都市双流区教科402室屈勇处。（联系电话：15884436662）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（四）重要提醒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1. 请各学校严把专业关，确保所推荐的材料不出现意识形态偏差和学科知识错误。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2. 本次活动参赛作品数量较大，请务必按要求准确填写参赛信息表。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（五）奖项设置：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1. 集体备课展示一、二、三等奖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2. 优质课一、二、三等奖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3. 时政述评一、二、三等奖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4. 学校团体特等奖（三个参赛项目都获得一等奖）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附件：1.教学设计模板 </w:t>
      </w:r>
    </w:p>
    <w:p>
      <w:pPr>
        <w:keepNext w:val="0"/>
        <w:keepLines w:val="0"/>
        <w:pageBreakBefore w:val="0"/>
        <w:widowControl/>
        <w:suppressLineNumbers w:val="0"/>
        <w:kinsoku/>
        <w:wordWrap/>
        <w:overflowPunct/>
        <w:topLinePunct w:val="0"/>
        <w:autoSpaceDE/>
        <w:autoSpaceDN/>
        <w:bidi w:val="0"/>
        <w:adjustRightInd/>
        <w:snapToGrid/>
        <w:ind w:firstLine="1400" w:firstLineChars="5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2.时政述评模版 </w:t>
      </w:r>
    </w:p>
    <w:p>
      <w:pPr>
        <w:keepNext w:val="0"/>
        <w:keepLines w:val="0"/>
        <w:pageBreakBefore w:val="0"/>
        <w:widowControl/>
        <w:suppressLineNumbers w:val="0"/>
        <w:kinsoku/>
        <w:wordWrap/>
        <w:overflowPunct/>
        <w:topLinePunct w:val="0"/>
        <w:autoSpaceDE/>
        <w:autoSpaceDN/>
        <w:bidi w:val="0"/>
        <w:adjustRightInd/>
        <w:snapToGrid/>
        <w:ind w:firstLine="1400" w:firstLineChars="5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3.参赛信息汇总表（一、二、三） </w:t>
      </w:r>
    </w:p>
    <w:p>
      <w:pPr>
        <w:keepNext w:val="0"/>
        <w:keepLines w:val="0"/>
        <w:pageBreakBefore w:val="0"/>
        <w:widowControl/>
        <w:suppressLineNumbers w:val="0"/>
        <w:kinsoku/>
        <w:wordWrap/>
        <w:overflowPunct/>
        <w:topLinePunct w:val="0"/>
        <w:autoSpaceDE/>
        <w:autoSpaceDN/>
        <w:bidi w:val="0"/>
        <w:adjustRightInd/>
        <w:snapToGrid/>
        <w:ind w:firstLine="1400" w:firstLineChars="500"/>
        <w:jc w:val="left"/>
        <w:textAlignment w:val="auto"/>
        <w:rPr>
          <w:rFonts w:hint="eastAsia" w:ascii="方正仿宋_GBK" w:hAnsi="方正仿宋_GBK" w:eastAsia="方正仿宋_GBK" w:cs="方正仿宋_GBK"/>
          <w:color w:val="000000"/>
          <w:kern w:val="0"/>
          <w:sz w:val="28"/>
          <w:szCs w:val="28"/>
          <w:lang w:val="en-US" w:eastAsia="zh-CN" w:bidi="ar"/>
        </w:rPr>
      </w:pPr>
      <w:r>
        <w:rPr>
          <w:rFonts w:hint="eastAsia" w:ascii="方正仿宋_GBK" w:hAnsi="方正仿宋_GBK" w:eastAsia="方正仿宋_GBK" w:cs="方正仿宋_GBK"/>
          <w:color w:val="000000"/>
          <w:kern w:val="0"/>
          <w:sz w:val="28"/>
          <w:szCs w:val="28"/>
          <w:lang w:val="en-US" w:eastAsia="zh-CN" w:bidi="ar"/>
        </w:rPr>
        <w:t xml:space="preserve">4.资源要求 </w:t>
      </w:r>
    </w:p>
    <w:p>
      <w:pPr>
        <w:keepNext w:val="0"/>
        <w:keepLines w:val="0"/>
        <w:pageBreakBefore w:val="0"/>
        <w:widowControl/>
        <w:suppressLineNumbers w:val="0"/>
        <w:kinsoku/>
        <w:wordWrap/>
        <w:overflowPunct/>
        <w:topLinePunct w:val="0"/>
        <w:autoSpaceDE/>
        <w:autoSpaceDN/>
        <w:bidi w:val="0"/>
        <w:adjustRightInd/>
        <w:snapToGrid/>
        <w:ind w:firstLine="1400" w:firstLineChars="500"/>
        <w:jc w:val="left"/>
        <w:textAlignment w:val="auto"/>
        <w:rPr>
          <w:rFonts w:hint="eastAsia" w:ascii="方正仿宋_GBK" w:hAnsi="方正仿宋_GBK" w:eastAsia="方正仿宋_GBK" w:cs="方正仿宋_GBK"/>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1400" w:firstLineChars="500"/>
        <w:jc w:val="left"/>
        <w:textAlignment w:val="auto"/>
        <w:rPr>
          <w:rFonts w:hint="eastAsia" w:ascii="方正仿宋_GBK" w:hAnsi="方正仿宋_GBK" w:eastAsia="方正仿宋_GBK" w:cs="方正仿宋_GBK"/>
          <w:color w:val="000000"/>
          <w:kern w:val="0"/>
          <w:sz w:val="28"/>
          <w:szCs w:val="28"/>
          <w:lang w:val="en-US" w:eastAsia="zh-CN" w:bidi="ar"/>
        </w:rPr>
      </w:pPr>
    </w:p>
    <w:p>
      <w:pPr>
        <w:keepNext w:val="0"/>
        <w:keepLines w:val="0"/>
        <w:widowControl/>
        <w:suppressLineNumbers w:val="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成都市双流区教育科学研究院 </w:t>
      </w:r>
    </w:p>
    <w:p>
      <w:pPr>
        <w:keepNext w:val="0"/>
        <w:keepLines w:val="0"/>
        <w:widowControl/>
        <w:suppressLineNumbers w:val="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2024年9月14日 </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附件1： </w:t>
      </w:r>
    </w:p>
    <w:p>
      <w:pPr>
        <w:keepNext w:val="0"/>
        <w:keepLines w:val="0"/>
        <w:widowControl/>
        <w:suppressLineNumbers w:val="0"/>
        <w:jc w:val="center"/>
        <w:rPr>
          <w:rFonts w:hint="eastAsia" w:ascii="黑体" w:hAnsi="黑体" w:eastAsia="黑体" w:cs="黑体"/>
          <w:sz w:val="36"/>
          <w:szCs w:val="36"/>
        </w:rPr>
      </w:pPr>
      <w:r>
        <w:rPr>
          <w:rFonts w:hint="eastAsia" w:ascii="黑体" w:hAnsi="黑体" w:eastAsia="黑体" w:cs="黑体"/>
          <w:color w:val="000000"/>
          <w:kern w:val="0"/>
          <w:sz w:val="36"/>
          <w:szCs w:val="36"/>
          <w:lang w:val="en-US" w:eastAsia="zh-CN" w:bidi="ar"/>
        </w:rPr>
        <w:t>教学设计模板</w:t>
      </w: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课例名称： </w:t>
      </w: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教材版本： </w:t>
      </w: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执教老师：                       联系电话：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所在单位：</w:t>
      </w:r>
      <w:r>
        <w:rPr>
          <w:rFonts w:hint="default" w:ascii="方正仿宋_GBK" w:hAnsi="方正仿宋_GBK" w:eastAsia="方正仿宋_GBK" w:cs="方正仿宋_GBK"/>
          <w:color w:val="000000"/>
          <w:kern w:val="0"/>
          <w:sz w:val="31"/>
          <w:szCs w:val="31"/>
          <w:lang w:val="en-US" w:eastAsia="zh-CN" w:bidi="ar"/>
        </w:rPr>
        <w:t xml:space="preserve"> </w:t>
      </w: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一、教材分析</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二、学情分析</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三、教学目标</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四、教学重点</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五、教学难点</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六、教学准备</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七、教学方法</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pPr>
      <w:r>
        <w:rPr>
          <w:rFonts w:hint="eastAsia" w:ascii="微软雅黑" w:hAnsi="微软雅黑" w:eastAsia="微软雅黑" w:cs="微软雅黑"/>
          <w:color w:val="000000"/>
          <w:kern w:val="0"/>
          <w:sz w:val="28"/>
          <w:szCs w:val="28"/>
          <w:lang w:val="en-US" w:eastAsia="zh-CN" w:bidi="ar"/>
        </w:rPr>
        <w:t>八、教学过程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565"/>
        <w:gridCol w:w="2629"/>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教学环节</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教师活动</w:t>
            </w: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学生活动</w:t>
            </w: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 xml:space="preserve">导 入 </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 xml:space="preserve">环节一 </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 xml:space="preserve">环节二 </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环节三</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Times New Roman" w:hAnsi="Times New Roman" w:eastAsia="宋体" w:cs="Times New Roman"/>
                <w:b/>
                <w:bCs/>
                <w:color w:val="000000"/>
                <w:kern w:val="0"/>
                <w:sz w:val="24"/>
                <w:szCs w:val="24"/>
                <w:lang w:val="en-US" w:eastAsia="zh-CN" w:bidi="ar"/>
              </w:rPr>
              <w:t xml:space="preserve">…… </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color w:val="000000"/>
                <w:kern w:val="0"/>
                <w:sz w:val="24"/>
                <w:szCs w:val="24"/>
                <w:vertAlign w:val="baseline"/>
                <w:lang w:val="en-US" w:eastAsia="zh-CN" w:bidi="ar"/>
              </w:rPr>
            </w:pPr>
            <w:r>
              <w:rPr>
                <w:rFonts w:hint="default" w:ascii="方正仿宋_GBK" w:hAnsi="方正仿宋_GBK" w:eastAsia="方正仿宋_GBK" w:cs="方正仿宋_GBK"/>
                <w:b/>
                <w:bCs/>
                <w:color w:val="000000"/>
                <w:kern w:val="0"/>
                <w:sz w:val="24"/>
                <w:szCs w:val="24"/>
                <w:lang w:val="en-US" w:eastAsia="zh-CN" w:bidi="ar"/>
              </w:rPr>
              <w:t xml:space="preserve">总 结 </w:t>
            </w:r>
          </w:p>
        </w:tc>
        <w:tc>
          <w:tcPr>
            <w:tcW w:w="256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629"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c>
          <w:tcPr>
            <w:tcW w:w="21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val="0"/>
                <w:bCs w:val="0"/>
                <w:color w:val="000000"/>
                <w:kern w:val="0"/>
                <w:sz w:val="24"/>
                <w:szCs w:val="24"/>
                <w:vertAlign w:val="baseline"/>
                <w:lang w:val="en-US" w:eastAsia="zh-CN" w:bidi="ar"/>
              </w:rPr>
            </w:pPr>
          </w:p>
        </w:tc>
      </w:tr>
    </w:tbl>
    <w:p>
      <w:pPr>
        <w:keepNext w:val="0"/>
        <w:keepLines w:val="0"/>
        <w:widowControl/>
        <w:suppressLineNumbers w:val="0"/>
        <w:jc w:val="center"/>
        <w:rPr>
          <w:rFonts w:hint="default"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r>
        <w:rPr>
          <w:rFonts w:hint="default" w:ascii="微软雅黑" w:hAnsi="微软雅黑" w:eastAsia="微软雅黑" w:cs="微软雅黑"/>
          <w:color w:val="000000"/>
          <w:kern w:val="0"/>
          <w:sz w:val="28"/>
          <w:szCs w:val="28"/>
          <w:lang w:val="en-US" w:eastAsia="zh-CN" w:bidi="ar"/>
        </w:rPr>
        <w:t>九、课堂实录（详案）</w:t>
      </w:r>
    </w:p>
    <w:p>
      <w:pPr>
        <w:keepNext w:val="0"/>
        <w:keepLines w:val="0"/>
        <w:widowControl/>
        <w:suppressLineNumbers w:val="0"/>
        <w:jc w:val="center"/>
        <w:rPr>
          <w:rFonts w:hint="default"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r>
        <w:rPr>
          <w:rFonts w:hint="default" w:ascii="微软雅黑" w:hAnsi="微软雅黑" w:eastAsia="微软雅黑" w:cs="微软雅黑"/>
          <w:color w:val="000000"/>
          <w:kern w:val="0"/>
          <w:sz w:val="28"/>
          <w:szCs w:val="28"/>
          <w:lang w:val="en-US" w:eastAsia="zh-CN" w:bidi="ar"/>
        </w:rPr>
        <w:t>十、板书设计</w:t>
      </w:r>
    </w:p>
    <w:p>
      <w:pPr>
        <w:keepNext w:val="0"/>
        <w:keepLines w:val="0"/>
        <w:widowControl/>
        <w:suppressLineNumbers w:val="0"/>
        <w:jc w:val="center"/>
        <w:rPr>
          <w:rFonts w:hint="default"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r>
        <w:rPr>
          <w:rFonts w:hint="default" w:ascii="微软雅黑" w:hAnsi="微软雅黑" w:eastAsia="微软雅黑" w:cs="微软雅黑"/>
          <w:color w:val="000000"/>
          <w:kern w:val="0"/>
          <w:sz w:val="28"/>
          <w:szCs w:val="28"/>
          <w:lang w:val="en-US" w:eastAsia="zh-CN" w:bidi="ar"/>
        </w:rPr>
        <w:t>十一、作业设计</w:t>
      </w:r>
    </w:p>
    <w:p>
      <w:pPr>
        <w:keepNext w:val="0"/>
        <w:keepLines w:val="0"/>
        <w:widowControl/>
        <w:suppressLineNumbers w:val="0"/>
        <w:jc w:val="center"/>
        <w:rPr>
          <w:rFonts w:hint="default"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default" w:ascii="微软雅黑" w:hAnsi="微软雅黑" w:eastAsia="微软雅黑" w:cs="微软雅黑"/>
          <w:color w:val="000000"/>
          <w:kern w:val="0"/>
          <w:sz w:val="28"/>
          <w:szCs w:val="28"/>
          <w:lang w:val="en-US" w:eastAsia="zh-CN" w:bidi="ar"/>
        </w:rPr>
      </w:pPr>
      <w:r>
        <w:rPr>
          <w:rFonts w:hint="default" w:ascii="微软雅黑" w:hAnsi="微软雅黑" w:eastAsia="微软雅黑" w:cs="微软雅黑"/>
          <w:color w:val="000000"/>
          <w:kern w:val="0"/>
          <w:sz w:val="28"/>
          <w:szCs w:val="28"/>
          <w:lang w:val="en-US" w:eastAsia="zh-CN" w:bidi="ar"/>
        </w:rPr>
        <w:t>十二、教学反思（先行课反思）</w:t>
      </w:r>
    </w:p>
    <w:p>
      <w:pPr>
        <w:keepNext w:val="0"/>
        <w:keepLines w:val="0"/>
        <w:widowControl/>
        <w:suppressLineNumbers w:val="0"/>
        <w:jc w:val="left"/>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pPr>
      <w:bookmarkStart w:id="0" w:name="_GoBack"/>
      <w:bookmarkEnd w:id="0"/>
      <w:r>
        <w:rPr>
          <w:rFonts w:hint="eastAsia" w:ascii="宋体" w:hAnsi="宋体" w:eastAsia="宋体" w:cs="宋体"/>
          <w:b/>
          <w:bCs/>
          <w:color w:val="000000"/>
          <w:kern w:val="0"/>
          <w:sz w:val="31"/>
          <w:szCs w:val="31"/>
          <w:lang w:val="en-US" w:eastAsia="zh-CN" w:bidi="ar"/>
        </w:rPr>
        <w:t xml:space="preserve">附件2： </w:t>
      </w:r>
    </w:p>
    <w:p>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6"/>
          <w:szCs w:val="36"/>
          <w:lang w:val="en-US" w:eastAsia="zh-CN" w:bidi="ar"/>
        </w:rPr>
        <w:t>时政述评模板</w:t>
      </w: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时政述评主题： </w:t>
      </w:r>
    </w:p>
    <w:p>
      <w:pPr>
        <w:keepNext w:val="0"/>
        <w:keepLines w:val="0"/>
        <w:widowControl/>
        <w:suppressLineNumbers w:val="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kern w:val="0"/>
          <w:sz w:val="28"/>
          <w:szCs w:val="28"/>
          <w:lang w:val="en-US" w:eastAsia="zh-CN" w:bidi="ar"/>
        </w:rPr>
        <w:t xml:space="preserve">执教老师：                   联系电话： </w:t>
      </w:r>
    </w:p>
    <w:p>
      <w:pPr>
        <w:keepNext w:val="0"/>
        <w:keepLines w:val="0"/>
        <w:widowControl/>
        <w:suppressLineNumbers w:val="0"/>
        <w:jc w:val="left"/>
      </w:pPr>
      <w:r>
        <w:rPr>
          <w:rFonts w:hint="eastAsia" w:ascii="方正仿宋_GBK" w:hAnsi="方正仿宋_GBK" w:eastAsia="方正仿宋_GBK" w:cs="方正仿宋_GBK"/>
          <w:color w:val="000000"/>
          <w:kern w:val="0"/>
          <w:sz w:val="28"/>
          <w:szCs w:val="28"/>
          <w:lang w:val="en-US" w:eastAsia="zh-CN" w:bidi="ar"/>
        </w:rPr>
        <w:t>所在单位：</w:t>
      </w:r>
      <w:r>
        <w:rPr>
          <w:rFonts w:hint="default" w:ascii="方正仿宋_GBK" w:hAnsi="方正仿宋_GBK" w:eastAsia="方正仿宋_GBK" w:cs="方正仿宋_GBK"/>
          <w:color w:val="000000"/>
          <w:kern w:val="0"/>
          <w:sz w:val="31"/>
          <w:szCs w:val="31"/>
          <w:lang w:val="en-US" w:eastAsia="zh-CN" w:bidi="ar"/>
        </w:rPr>
        <w:t xml:space="preserve"> </w:t>
      </w:r>
    </w:p>
    <w:p>
      <w:pPr>
        <w:keepNext w:val="0"/>
        <w:keepLines w:val="0"/>
        <w:widowControl/>
        <w:suppressLineNumbers w:val="0"/>
        <w:jc w:val="center"/>
        <w:rPr>
          <w:rFonts w:hint="eastAsia" w:ascii="微软雅黑" w:hAnsi="微软雅黑" w:eastAsia="微软雅黑" w:cs="微软雅黑"/>
          <w:sz w:val="28"/>
          <w:szCs w:val="28"/>
        </w:rPr>
      </w:pPr>
      <w:r>
        <w:rPr>
          <w:rFonts w:hint="eastAsia" w:ascii="微软雅黑" w:hAnsi="微软雅黑" w:eastAsia="微软雅黑" w:cs="微软雅黑"/>
          <w:color w:val="000000"/>
          <w:kern w:val="0"/>
          <w:sz w:val="28"/>
          <w:szCs w:val="28"/>
          <w:lang w:val="en-US" w:eastAsia="zh-CN" w:bidi="ar"/>
        </w:rPr>
        <w:t>一、时政话题/主题</w:t>
      </w:r>
    </w:p>
    <w:p>
      <w:pPr>
        <w:keepNext w:val="0"/>
        <w:keepLines w:val="0"/>
        <w:widowControl/>
        <w:suppressLineNumbers w:val="0"/>
        <w:jc w:val="center"/>
        <w:rPr>
          <w:rFonts w:hint="eastAsia" w:ascii="微软雅黑" w:hAnsi="微软雅黑" w:eastAsia="微软雅黑" w:cs="微软雅黑"/>
          <w:color w:val="000000"/>
          <w:kern w:val="0"/>
          <w:sz w:val="28"/>
          <w:szCs w:val="28"/>
          <w:lang w:val="en-US" w:eastAsia="zh-CN" w:bidi="ar"/>
        </w:rPr>
      </w:pPr>
    </w:p>
    <w:p>
      <w:pPr>
        <w:keepNext w:val="0"/>
        <w:keepLines w:val="0"/>
        <w:widowControl/>
        <w:suppressLineNumbers w:val="0"/>
        <w:jc w:val="center"/>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color w:val="000000"/>
          <w:kern w:val="0"/>
          <w:sz w:val="28"/>
          <w:szCs w:val="28"/>
          <w:lang w:val="en-US" w:eastAsia="zh-CN" w:bidi="ar"/>
        </w:rPr>
        <w:t>二、时政述评</w:t>
      </w: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附件3： </w:t>
      </w:r>
    </w:p>
    <w:p>
      <w:pPr>
        <w:keepNext w:val="0"/>
        <w:keepLines w:val="0"/>
        <w:widowControl/>
        <w:suppressLineNumbers w:val="0"/>
        <w:jc w:val="cente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参赛信息汇总表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sz w:val="24"/>
          <w:szCs w:val="24"/>
        </w:rPr>
      </w:pPr>
      <w:r>
        <w:rPr>
          <w:rFonts w:hint="eastAsia" w:asciiTheme="majorEastAsia" w:hAnsiTheme="majorEastAsia" w:eastAsiaTheme="majorEastAsia" w:cstheme="majorEastAsia"/>
          <w:color w:val="000000"/>
          <w:kern w:val="0"/>
          <w:sz w:val="24"/>
          <w:szCs w:val="24"/>
          <w:lang w:val="en-US" w:eastAsia="zh-CN" w:bidi="ar"/>
        </w:rPr>
        <w:t>表一：2024年小学思政教研组集体备课大赛——“优质课”信息汇总表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930"/>
        <w:gridCol w:w="1080"/>
        <w:gridCol w:w="1742"/>
        <w:gridCol w:w="823"/>
        <w:gridCol w:w="141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区（市）县</w:t>
            </w:r>
          </w:p>
        </w:tc>
        <w:tc>
          <w:tcPr>
            <w:tcW w:w="930" w:type="dxa"/>
          </w:tcPr>
          <w:p>
            <w:pPr>
              <w:keepNext w:val="0"/>
              <w:keepLines w:val="0"/>
              <w:widowControl/>
              <w:suppressLineNumbers w:val="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000000"/>
                <w:kern w:val="0"/>
                <w:sz w:val="24"/>
                <w:szCs w:val="24"/>
                <w:lang w:val="en-US" w:eastAsia="zh-CN" w:bidi="ar"/>
              </w:rPr>
              <w:t>单位</w:t>
            </w:r>
          </w:p>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p>
        </w:tc>
        <w:tc>
          <w:tcPr>
            <w:tcW w:w="1080" w:type="dxa"/>
          </w:tcPr>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授课教师姓名</w:t>
            </w:r>
          </w:p>
        </w:tc>
        <w:tc>
          <w:tcPr>
            <w:tcW w:w="1742" w:type="dxa"/>
          </w:tcPr>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课题</w:t>
            </w:r>
          </w:p>
        </w:tc>
        <w:tc>
          <w:tcPr>
            <w:tcW w:w="823" w:type="dxa"/>
          </w:tcPr>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年级</w:t>
            </w:r>
          </w:p>
        </w:tc>
        <w:tc>
          <w:tcPr>
            <w:tcW w:w="1410" w:type="dxa"/>
          </w:tcPr>
          <w:p>
            <w:pPr>
              <w:keepNext w:val="0"/>
              <w:keepLines w:val="0"/>
              <w:widowControl/>
              <w:suppressLineNumbers w:val="0"/>
              <w:jc w:val="center"/>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手机号码</w:t>
            </w:r>
          </w:p>
        </w:tc>
        <w:tc>
          <w:tcPr>
            <w:tcW w:w="1421" w:type="dxa"/>
          </w:tcPr>
          <w:p>
            <w:pPr>
              <w:keepNext w:val="0"/>
              <w:keepLines w:val="0"/>
              <w:widowControl/>
              <w:suppressLineNumbers w:val="0"/>
              <w:jc w:val="both"/>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Theme="majorEastAsia" w:hAnsiTheme="majorEastAsia" w:eastAsiaTheme="majorEastAsia" w:cstheme="majorEastAsia"/>
                <w:color w:val="000000"/>
                <w:kern w:val="0"/>
                <w:sz w:val="24"/>
                <w:szCs w:val="24"/>
                <w:lang w:val="en-US" w:eastAsia="zh-CN" w:bidi="ar"/>
              </w:rPr>
              <w:t>指导教师 （1名）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93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08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4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82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41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42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93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08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4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823"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410"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42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r>
    </w:tbl>
    <w:p>
      <w:pPr>
        <w:keepNext w:val="0"/>
        <w:keepLines w:val="0"/>
        <w:widowControl/>
        <w:suppressLineNumbers w:val="0"/>
        <w:jc w:val="left"/>
        <w:rPr>
          <w:rFonts w:hint="default"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color w:val="000000"/>
          <w:kern w:val="0"/>
          <w:sz w:val="24"/>
          <w:szCs w:val="24"/>
          <w:lang w:val="en-US" w:eastAsia="zh-CN" w:bidi="ar"/>
        </w:rPr>
      </w:pPr>
      <w:r>
        <w:rPr>
          <w:rFonts w:hint="eastAsia" w:asciiTheme="majorEastAsia" w:hAnsiTheme="majorEastAsia" w:eastAsiaTheme="majorEastAsia" w:cstheme="majorEastAsia"/>
          <w:color w:val="000000"/>
          <w:kern w:val="0"/>
          <w:sz w:val="24"/>
          <w:szCs w:val="24"/>
          <w:lang w:val="en-US" w:eastAsia="zh-CN" w:bidi="ar"/>
        </w:rPr>
        <w:t xml:space="preserve">表二：2024年小学思政教研组集体备课大赛——“时政述评”信息汇总表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977"/>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3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区（市）县</w:t>
            </w:r>
          </w:p>
        </w:tc>
        <w:tc>
          <w:tcPr>
            <w:tcW w:w="1977"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单位</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标题</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述评教师姓名</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97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4"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977"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4"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00"/>
                <w:kern w:val="0"/>
                <w:sz w:val="24"/>
                <w:szCs w:val="24"/>
                <w:vertAlign w:val="baseline"/>
                <w:lang w:val="en-US" w:eastAsia="zh-CN" w:bidi="ar"/>
              </w:rPr>
            </w:pPr>
          </w:p>
        </w:tc>
      </w:tr>
    </w:tbl>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widowControl/>
        <w:suppressLineNumbers w:val="0"/>
        <w:jc w:val="left"/>
        <w:rPr>
          <w:rFonts w:hint="eastAsia" w:asciiTheme="majorEastAsia" w:hAnsiTheme="majorEastAsia" w:eastAsiaTheme="majorEastAsia" w:cstheme="majorEastAsia"/>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color w:val="000000"/>
          <w:kern w:val="0"/>
          <w:sz w:val="24"/>
          <w:szCs w:val="24"/>
          <w:lang w:val="en-US" w:eastAsia="zh-CN" w:bidi="ar"/>
        </w:rPr>
      </w:pPr>
      <w:r>
        <w:rPr>
          <w:rFonts w:hint="default" w:asciiTheme="majorEastAsia" w:hAnsiTheme="majorEastAsia" w:eastAsiaTheme="majorEastAsia" w:cstheme="majorEastAsia"/>
          <w:color w:val="000000"/>
          <w:kern w:val="0"/>
          <w:sz w:val="24"/>
          <w:szCs w:val="24"/>
          <w:lang w:val="en-US" w:eastAsia="zh-CN" w:bidi="ar"/>
        </w:rPr>
        <w:t xml:space="preserve">表三：2024年小学思政教研组集体备课大赛——“集体备课展示”信息汇总表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1962"/>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446"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区（市）县</w:t>
            </w:r>
          </w:p>
        </w:tc>
        <w:tc>
          <w:tcPr>
            <w:tcW w:w="19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单位</w:t>
            </w:r>
          </w:p>
        </w:tc>
        <w:tc>
          <w:tcPr>
            <w:tcW w:w="170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标题</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教研组长姓名</w:t>
            </w:r>
          </w:p>
        </w:tc>
        <w:tc>
          <w:tcPr>
            <w:tcW w:w="170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9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4"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9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4"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c>
          <w:tcPr>
            <w:tcW w:w="1705"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vertAlign w:val="baseline"/>
                <w:lang w:val="en-US" w:eastAsia="zh-CN" w:bidi="ar"/>
              </w:rPr>
            </w:pPr>
          </w:p>
        </w:tc>
      </w:tr>
    </w:tbl>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pPr>
        <w:keepNext w:val="0"/>
        <w:keepLines w:val="0"/>
        <w:widowControl/>
        <w:suppressLineNumbers w:val="0"/>
        <w:jc w:val="left"/>
      </w:pPr>
      <w:r>
        <w:rPr>
          <w:rFonts w:hint="eastAsia" w:ascii="宋体" w:hAnsi="宋体" w:eastAsia="宋体" w:cs="宋体"/>
          <w:b/>
          <w:bCs/>
          <w:color w:val="000000"/>
          <w:kern w:val="0"/>
          <w:sz w:val="31"/>
          <w:szCs w:val="31"/>
          <w:lang w:val="en-US" w:eastAsia="zh-CN" w:bidi="ar"/>
        </w:rPr>
        <w:t xml:space="preserve">附件4： </w:t>
      </w:r>
    </w:p>
    <w:p>
      <w:pPr>
        <w:keepNext w:val="0"/>
        <w:keepLines w:val="0"/>
        <w:widowControl/>
        <w:suppressLineNumbers w:val="0"/>
        <w:jc w:val="center"/>
        <w:rPr>
          <w:rFonts w:hint="eastAsia" w:ascii="黑体" w:hAnsi="黑体" w:eastAsia="黑体" w:cs="黑体"/>
          <w:b w:val="0"/>
          <w:bCs w:val="0"/>
        </w:rPr>
      </w:pPr>
      <w:r>
        <w:rPr>
          <w:rFonts w:hint="eastAsia" w:ascii="黑体" w:hAnsi="黑体" w:eastAsia="黑体" w:cs="黑体"/>
          <w:b w:val="0"/>
          <w:bCs w:val="0"/>
          <w:color w:val="000000"/>
          <w:kern w:val="0"/>
          <w:sz w:val="32"/>
          <w:szCs w:val="32"/>
          <w:lang w:val="en-US" w:eastAsia="zh-CN" w:bidi="ar"/>
        </w:rPr>
        <w:t>资源要求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0"/>
          <w:szCs w:val="30"/>
          <w:lang w:val="en-US" w:eastAsia="zh-CN" w:bidi="ar"/>
        </w:rPr>
        <w:t xml:space="preserve">1. 优质课视频时长为上课视频40分钟，说课视频5分钟；备课组展示视频20分钟；时政述评视频10-15分钟。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0"/>
          <w:szCs w:val="30"/>
          <w:lang w:val="en-US" w:eastAsia="zh-CN" w:bidi="ar"/>
        </w:rPr>
        <w:t xml:space="preserve">2. 优质课教学设计和优质课PPT、时政述评文稿和ppt、备课组展示文稿和ppt和其他相关音视频等教学资源放在相应项目的文件夹中。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0"/>
          <w:szCs w:val="30"/>
          <w:lang w:val="en-US" w:eastAsia="zh-CN" w:bidi="ar"/>
        </w:rPr>
        <w:t xml:space="preserve">3. 参赛作品按优质课视频（含说课）、备课组展示视频、时政述评视频、教学资源包分别建文件夹，文件名务必注明准确信息。如优质课视频按“xx区-xx小学-张三-辽阔的国土-优质课视频”的格式命名。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0"/>
          <w:szCs w:val="30"/>
          <w:lang w:val="en-US" w:eastAsia="zh-CN" w:bidi="ar"/>
        </w:rPr>
        <w:t>4. 保证普通电脑可将数据读出，如不能正常读出，后果由参赛学校承担。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993EB9-D06D-49CD-B87B-1AAD8647B8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F834845-D272-4159-A63F-869E503A2025}"/>
  </w:font>
  <w:font w:name="方正仿宋_GBK">
    <w:panose1 w:val="02000000000000000000"/>
    <w:charset w:val="86"/>
    <w:family w:val="auto"/>
    <w:pitch w:val="default"/>
    <w:sig w:usb0="A00002BF" w:usb1="38CF7CFA" w:usb2="00082016" w:usb3="00000000" w:csb0="00040001" w:csb1="00000000"/>
    <w:embedRegular r:id="rId3" w:fontKey="{7ACCF04D-52B8-4C62-BAD3-AC4540094CBA}"/>
  </w:font>
  <w:font w:name="方正黑体_GBK">
    <w:panose1 w:val="02010600010101010101"/>
    <w:charset w:val="86"/>
    <w:family w:val="auto"/>
    <w:pitch w:val="default"/>
    <w:sig w:usb0="00000001" w:usb1="080E0000" w:usb2="00000000" w:usb3="00000000" w:csb0="00040000" w:csb1="00000000"/>
    <w:embedRegular r:id="rId4" w:fontKey="{DE7C28D5-A6BB-46DB-865B-87F8904D76BC}"/>
  </w:font>
  <w:font w:name="微软雅黑">
    <w:panose1 w:val="020B0503020204020204"/>
    <w:charset w:val="86"/>
    <w:family w:val="auto"/>
    <w:pitch w:val="default"/>
    <w:sig w:usb0="80000287" w:usb1="2ACF3C50" w:usb2="00000016" w:usb3="00000000" w:csb0="0004001F" w:csb1="00000000"/>
    <w:embedRegular r:id="rId5" w:fontKey="{42C6050F-0E6F-4CE9-B106-D2B11C0988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TRlMjY5ODUzODJjODk4NGEyNWI2ZTc5YmEwYTAifQ=="/>
  </w:docVars>
  <w:rsids>
    <w:rsidRoot w:val="772076CB"/>
    <w:rsid w:val="06F9762D"/>
    <w:rsid w:val="0B74513C"/>
    <w:rsid w:val="0EB676C5"/>
    <w:rsid w:val="17B1375A"/>
    <w:rsid w:val="1DDA0CB3"/>
    <w:rsid w:val="39665CFB"/>
    <w:rsid w:val="4DB9769D"/>
    <w:rsid w:val="519A550E"/>
    <w:rsid w:val="53E75832"/>
    <w:rsid w:val="70D16026"/>
    <w:rsid w:val="72F70387"/>
    <w:rsid w:val="772076CB"/>
    <w:rsid w:val="7A3B626B"/>
    <w:rsid w:val="7C1A5EF5"/>
    <w:rsid w:val="7E8A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1579</Words>
  <Characters>1652</Characters>
  <Lines>0</Lines>
  <Paragraphs>0</Paragraphs>
  <TotalTime>23</TotalTime>
  <ScaleCrop>false</ScaleCrop>
  <LinksUpToDate>false</LinksUpToDate>
  <CharactersWithSpaces>1764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2024-09-13T10:18:00Z</dcterms:created>
  <dc:creator>keaide123</dc:creator>
  <cp:lastModifiedBy>722</cp:lastModifiedBy>
  <dcterms:modified xsi:type="dcterms:W3CDTF">2024-09-17T07:09:23Z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BA87AE546F1D4E5F9218AED16B8B21CB_13</vt:lpwstr>
  </property>
</Properties>
</file>