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hanging="440" w:hangingChars="100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成都市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双流区第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十三届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高考考情学情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教材</w:t>
      </w:r>
    </w:p>
    <w:p>
      <w:pPr>
        <w:ind w:left="360" w:hanging="440" w:hangingChars="100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解读大赛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高2022级是我省实施新课程、新教材，参加新高考的首个年级。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为了促进我区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2022级全体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高考学科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教师深入理解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新课程、新教材，全面了解新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高考卷的结构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考试范围和命题要求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，扎实开展高考备考的研究，真正落实“考教衔接”的教学工作，沉着应对新形势、新高考，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经研究，决定举办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第十三届高考考情学情教材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解读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强化考教衔接 优化备考策略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时间、地点安排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见附件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比赛形式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个不同的解读课题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每所学校的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提前在这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个解读课题中随机抽取一个，并对抽到的课题进行充分准备。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比赛时，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每个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备课组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~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3名教师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进行展示，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展示要制作PPT，展示完成后回答专家提问。每个学校展示时间不超过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 分钟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（含答辩）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比赛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学科解读比赛由学科教研员组织，比赛可依据学科特点做更具体的要求。每个学科外聘三位专家作为评委进行评审并点评。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全区高三教师要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依据学科安排全程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参加学科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解读比赛，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原则上不允许请假。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如需请假，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应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请学校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学科行政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向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学科教研员请假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鼓励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高一、高二教师观摩学习。本次大赛将根据各学校得分情况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进行排名，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评出一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高三高考考情学情教材解读大赛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安排表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高三高考考情学情教材解读大赛评分标准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成都市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双流区教育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：高三高考考情学情教材解读大赛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安排表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tbl>
      <w:tblPr>
        <w:tblStyle w:val="9"/>
        <w:tblW w:w="8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3473"/>
        <w:gridCol w:w="3380"/>
      </w:tblGrid>
      <w:tr>
        <w:tblPrEx>
          <w:tblLayout w:type="fixed"/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学科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活动地点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时间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语文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棠湖外国语学校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11月29日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数学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艺体中学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11月27日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英语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艺体中学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12月2日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物理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双流中学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11月28日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化学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棠湖中学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12月3日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生物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双流中学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11月26日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政治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棠湖外国语学校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11月29日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历史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立格实验学校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12月6日</w:t>
            </w:r>
          </w:p>
        </w:tc>
      </w:tr>
      <w:tr>
        <w:tblPrEx>
          <w:tblLayout w:type="fixed"/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地理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双流教科院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11月28日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：高三高考考情学情教材解读大赛评分标准</w:t>
      </w:r>
    </w:p>
    <w:tbl>
      <w:tblPr>
        <w:tblStyle w:val="9"/>
        <w:tblW w:w="95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999"/>
        <w:gridCol w:w="2693"/>
        <w:gridCol w:w="1515"/>
        <w:gridCol w:w="1909"/>
        <w:gridCol w:w="808"/>
        <w:gridCol w:w="642"/>
      </w:tblGrid>
      <w:tr>
        <w:tblPrEx>
          <w:tblLayout w:type="fixed"/>
        </w:tblPrEx>
        <w:trPr>
          <w:trHeight w:val="511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  <w:t>参赛学校</w:t>
            </w:r>
          </w:p>
        </w:tc>
        <w:tc>
          <w:tcPr>
            <w:tcW w:w="2693" w:type="dxa"/>
          </w:tcPr>
          <w:p>
            <w:pPr>
              <w:pStyle w:val="10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3359" w:type="dxa"/>
            <w:gridSpan w:val="3"/>
          </w:tcPr>
          <w:p>
            <w:pPr>
              <w:pStyle w:val="10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02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  <w:t>展示教师代表</w:t>
            </w:r>
          </w:p>
        </w:tc>
        <w:tc>
          <w:tcPr>
            <w:tcW w:w="7567" w:type="dxa"/>
            <w:gridSpan w:val="5"/>
          </w:tcPr>
          <w:p>
            <w:pPr>
              <w:pStyle w:val="10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29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10"/>
              <w:spacing w:before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  <w:t>参赛课题</w:t>
            </w:r>
          </w:p>
        </w:tc>
        <w:tc>
          <w:tcPr>
            <w:tcW w:w="7567" w:type="dxa"/>
            <w:gridSpan w:val="5"/>
          </w:tcPr>
          <w:p>
            <w:pPr>
              <w:pStyle w:val="10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97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10"/>
              <w:spacing w:before="124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  <w:t>考评项目</w:t>
            </w:r>
          </w:p>
        </w:tc>
        <w:tc>
          <w:tcPr>
            <w:tcW w:w="6117" w:type="dxa"/>
            <w:gridSpan w:val="3"/>
            <w:vAlign w:val="center"/>
          </w:tcPr>
          <w:p>
            <w:pPr>
              <w:pStyle w:val="10"/>
              <w:spacing w:before="124"/>
              <w:ind w:right="2727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评价内容</w:t>
            </w:r>
          </w:p>
        </w:tc>
        <w:tc>
          <w:tcPr>
            <w:tcW w:w="808" w:type="dxa"/>
            <w:vAlign w:val="center"/>
          </w:tcPr>
          <w:p>
            <w:pPr>
              <w:pStyle w:val="10"/>
              <w:spacing w:before="124"/>
              <w:ind w:left="127" w:right="123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642" w:type="dxa"/>
          </w:tcPr>
          <w:p>
            <w:pPr>
              <w:pStyle w:val="10"/>
              <w:spacing w:before="124"/>
              <w:ind w:left="117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</w:rPr>
              <w:t>得分</w:t>
            </w:r>
          </w:p>
        </w:tc>
      </w:tr>
      <w:tr>
        <w:tblPrEx>
          <w:tblLayout w:type="fixed"/>
        </w:tblPrEx>
        <w:trPr>
          <w:trHeight w:val="1640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“考什么”</w:t>
            </w:r>
          </w:p>
        </w:tc>
        <w:tc>
          <w:tcPr>
            <w:tcW w:w="6117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141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w w:val="95"/>
                <w:sz w:val="21"/>
              </w:rPr>
              <w:t>⑴落实“立德树人”——社会主义核心价值观、依法治国理念、中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</w:rPr>
              <w:t>华优秀传统文化等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eastAsia="zh-CN"/>
              </w:rPr>
              <w:t>立德树人目标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</w:rPr>
              <w:t>在试题中渗透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-15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5"/>
                <w:w w:val="95"/>
                <w:sz w:val="21"/>
              </w:rPr>
              <w:t>⑵某考点学科的必备知识、关键能力、学科素养、核心价值的体现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5"/>
                <w:w w:val="95"/>
                <w:sz w:val="21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</w:rPr>
              <w:t>⑶某考点在学科知识（能力）结构的地位和作用。</w:t>
            </w:r>
          </w:p>
        </w:tc>
        <w:tc>
          <w:tcPr>
            <w:tcW w:w="808" w:type="dxa"/>
            <w:vAlign w:val="center"/>
          </w:tcPr>
          <w:p>
            <w:pPr>
              <w:pStyle w:val="10"/>
              <w:ind w:right="119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  <w:t>15</w:t>
            </w:r>
          </w:p>
        </w:tc>
        <w:tc>
          <w:tcPr>
            <w:tcW w:w="642" w:type="dxa"/>
          </w:tcPr>
          <w:p>
            <w:pPr>
              <w:pStyle w:val="10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Layout w:type="fixed"/>
        </w:tblPrEx>
        <w:trPr>
          <w:trHeight w:val="1232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10"/>
              <w:spacing w:before="17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“怎么考”</w:t>
            </w:r>
          </w:p>
        </w:tc>
        <w:tc>
          <w:tcPr>
            <w:tcW w:w="6117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⑷高考命题的基础性、综合性、应用性、创新性特点体现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-15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5"/>
                <w:w w:val="95"/>
                <w:sz w:val="21"/>
              </w:rPr>
              <w:t>⑸该考点高考命题的立意、情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5"/>
                <w:w w:val="95"/>
                <w:sz w:val="21"/>
                <w:lang w:eastAsia="zh-CN"/>
              </w:rPr>
              <w:t>境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5"/>
                <w:w w:val="95"/>
                <w:sz w:val="21"/>
              </w:rPr>
              <w:t>创设、问题设计、答案与赋分特点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5"/>
                <w:w w:val="95"/>
                <w:sz w:val="21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⑹该考点 202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年考试预测。</w:t>
            </w:r>
          </w:p>
        </w:tc>
        <w:tc>
          <w:tcPr>
            <w:tcW w:w="808" w:type="dxa"/>
            <w:vAlign w:val="center"/>
          </w:tcPr>
          <w:p>
            <w:pPr>
              <w:pStyle w:val="10"/>
              <w:spacing w:before="171"/>
              <w:ind w:right="119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  <w:t>15</w:t>
            </w:r>
          </w:p>
        </w:tc>
        <w:tc>
          <w:tcPr>
            <w:tcW w:w="642" w:type="dxa"/>
          </w:tcPr>
          <w:p>
            <w:pPr>
              <w:pStyle w:val="10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Layout w:type="fixed"/>
        </w:tblPrEx>
        <w:trPr>
          <w:trHeight w:val="1305" w:hRule="atLeast"/>
          <w:jc w:val="center"/>
        </w:trPr>
        <w:tc>
          <w:tcPr>
            <w:tcW w:w="1032" w:type="dxa"/>
            <w:vMerge w:val="restart"/>
            <w:vAlign w:val="center"/>
          </w:tcPr>
          <w:p>
            <w:pPr>
              <w:pStyle w:val="10"/>
              <w:spacing w:before="172" w:line="288" w:lineRule="auto"/>
              <w:ind w:left="215" w:right="157" w:firstLine="86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“怎么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51"/>
                <w:sz w:val="21"/>
              </w:rPr>
              <w:t>教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（学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64"/>
                <w:sz w:val="21"/>
              </w:rPr>
              <w:t>）</w:t>
            </w:r>
          </w:p>
        </w:tc>
        <w:tc>
          <w:tcPr>
            <w:tcW w:w="999" w:type="dxa"/>
            <w:vAlign w:val="center"/>
          </w:tcPr>
          <w:p>
            <w:pPr>
              <w:pStyle w:val="10"/>
              <w:spacing w:before="160" w:line="285" w:lineRule="auto"/>
              <w:ind w:left="317" w:right="20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学习目标设计</w:t>
            </w:r>
          </w:p>
        </w:tc>
        <w:tc>
          <w:tcPr>
            <w:tcW w:w="6117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98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⑺针对单元（主题）考情，契合学情，整体设计学习目标，目标的操作性强。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⑻体现运用知识分析问题、解决问题的能力培养。</w:t>
            </w:r>
          </w:p>
        </w:tc>
        <w:tc>
          <w:tcPr>
            <w:tcW w:w="808" w:type="dxa"/>
            <w:vAlign w:val="center"/>
          </w:tcPr>
          <w:p>
            <w:pPr>
              <w:pStyle w:val="10"/>
              <w:ind w:right="119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42" w:type="dxa"/>
          </w:tcPr>
          <w:p>
            <w:pPr>
              <w:pStyle w:val="10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Layout w:type="fixed"/>
        </w:tblPrEx>
        <w:trPr>
          <w:trHeight w:val="1640" w:hRule="atLeast"/>
          <w:jc w:val="center"/>
        </w:trPr>
        <w:tc>
          <w:tcPr>
            <w:tcW w:w="103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10"/>
              <w:spacing w:line="285" w:lineRule="auto"/>
              <w:ind w:left="264" w:right="254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评价设计</w:t>
            </w:r>
          </w:p>
        </w:tc>
        <w:tc>
          <w:tcPr>
            <w:tcW w:w="6117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98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⑼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将学习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目标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转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变成具体的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学习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任务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，并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制定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相应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评价标准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98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⑽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强化作业设计，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对应单元（主题）学习目标，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整体设计单元训练及变式训练。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难易、容量适当，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体现分层、进阶，学生的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倾向性错误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能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得到矫正。</w:t>
            </w:r>
          </w:p>
        </w:tc>
        <w:tc>
          <w:tcPr>
            <w:tcW w:w="808" w:type="dxa"/>
            <w:vAlign w:val="center"/>
          </w:tcPr>
          <w:p>
            <w:pPr>
              <w:pStyle w:val="10"/>
              <w:ind w:right="119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  <w:t>30</w:t>
            </w:r>
          </w:p>
        </w:tc>
        <w:tc>
          <w:tcPr>
            <w:tcW w:w="642" w:type="dxa"/>
          </w:tcPr>
          <w:p>
            <w:pPr>
              <w:pStyle w:val="10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Layout w:type="fixed"/>
        </w:tblPrEx>
        <w:trPr>
          <w:trHeight w:val="1232" w:hRule="atLeast"/>
          <w:jc w:val="center"/>
        </w:trPr>
        <w:tc>
          <w:tcPr>
            <w:tcW w:w="103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10"/>
              <w:spacing w:before="5" w:line="285" w:lineRule="auto"/>
              <w:ind w:right="254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资源</w:t>
            </w:r>
          </w:p>
          <w:p>
            <w:pPr>
              <w:pStyle w:val="10"/>
              <w:spacing w:before="5" w:line="285" w:lineRule="auto"/>
              <w:ind w:right="254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设计</w:t>
            </w:r>
          </w:p>
        </w:tc>
        <w:tc>
          <w:tcPr>
            <w:tcW w:w="6117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98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⑾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学生的学习任务单整体设计，分课时呈现。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 w:right="98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⑿支撑学习目标，联系生产、生活实际或学科发展前沿，体现课程资源的有效整合，难易适度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。</w:t>
            </w:r>
          </w:p>
        </w:tc>
        <w:tc>
          <w:tcPr>
            <w:tcW w:w="808" w:type="dxa"/>
            <w:vAlign w:val="center"/>
          </w:tcPr>
          <w:p>
            <w:pPr>
              <w:pStyle w:val="10"/>
              <w:ind w:right="119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  <w:t>10</w:t>
            </w:r>
          </w:p>
        </w:tc>
        <w:tc>
          <w:tcPr>
            <w:tcW w:w="642" w:type="dxa"/>
          </w:tcPr>
          <w:p>
            <w:pPr>
              <w:pStyle w:val="10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Layout w:type="fixed"/>
        </w:tblPrEx>
        <w:trPr>
          <w:trHeight w:val="1640" w:hRule="atLeast"/>
          <w:jc w:val="center"/>
        </w:trPr>
        <w:tc>
          <w:tcPr>
            <w:tcW w:w="103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"/>
                <w:szCs w:val="2"/>
              </w:rPr>
            </w:pPr>
          </w:p>
        </w:tc>
        <w:tc>
          <w:tcPr>
            <w:tcW w:w="999" w:type="dxa"/>
            <w:vAlign w:val="center"/>
          </w:tcPr>
          <w:p>
            <w:pPr>
              <w:pStyle w:val="10"/>
              <w:spacing w:line="285" w:lineRule="auto"/>
              <w:ind w:right="254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活动</w:t>
            </w:r>
          </w:p>
          <w:p>
            <w:pPr>
              <w:pStyle w:val="10"/>
              <w:spacing w:line="285" w:lineRule="auto"/>
              <w:ind w:right="254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设计</w:t>
            </w:r>
          </w:p>
        </w:tc>
        <w:tc>
          <w:tcPr>
            <w:tcW w:w="6117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⒀基于学习目标创设情境驱动学习，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体现“无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情境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，不教学”。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⒁问题导向，学生思维深度参与，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促进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知识结构化、思维建模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帮助学生形成有效学习方法。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⒂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借助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平台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与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及时反馈、评价与补救，教师指导针对性强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  <w:t>。</w:t>
            </w:r>
          </w:p>
        </w:tc>
        <w:tc>
          <w:tcPr>
            <w:tcW w:w="808" w:type="dxa"/>
            <w:vAlign w:val="center"/>
          </w:tcPr>
          <w:p>
            <w:pPr>
              <w:pStyle w:val="10"/>
              <w:ind w:right="119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642" w:type="dxa"/>
          </w:tcPr>
          <w:p>
            <w:pPr>
              <w:pStyle w:val="10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Layout w:type="fixed"/>
        </w:tblPrEx>
        <w:trPr>
          <w:trHeight w:val="1057" w:hRule="atLeast"/>
          <w:jc w:val="center"/>
        </w:trPr>
        <w:tc>
          <w:tcPr>
            <w:tcW w:w="2031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现场答疑</w:t>
            </w:r>
          </w:p>
        </w:tc>
        <w:tc>
          <w:tcPr>
            <w:tcW w:w="6117" w:type="dxa"/>
            <w:gridSpan w:val="3"/>
          </w:tcPr>
          <w:p>
            <w:pPr>
              <w:pStyle w:val="10"/>
              <w:spacing w:before="4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⒃回答专家评委或参会教师提出的问题，答辩有理有据。</w:t>
            </w:r>
          </w:p>
          <w:p>
            <w:pPr>
              <w:pStyle w:val="10"/>
              <w:ind w:left="107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642" w:type="dxa"/>
          </w:tcPr>
          <w:p>
            <w:pPr>
              <w:pStyle w:val="10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</w:rPr>
            </w:pPr>
          </w:p>
        </w:tc>
      </w:tr>
      <w:tr>
        <w:tblPrEx>
          <w:tblLayout w:type="fixed"/>
        </w:tblPrEx>
        <w:trPr>
          <w:trHeight w:val="711" w:hRule="atLeast"/>
          <w:jc w:val="center"/>
        </w:trPr>
        <w:tc>
          <w:tcPr>
            <w:tcW w:w="8956" w:type="dxa"/>
            <w:gridSpan w:val="6"/>
            <w:vAlign w:val="center"/>
          </w:tcPr>
          <w:p>
            <w:pPr>
              <w:pStyle w:val="10"/>
              <w:tabs>
                <w:tab w:val="left" w:pos="532"/>
              </w:tabs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ab/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</w:rPr>
              <w:t>分</w:t>
            </w:r>
          </w:p>
        </w:tc>
        <w:tc>
          <w:tcPr>
            <w:tcW w:w="642" w:type="dxa"/>
          </w:tcPr>
          <w:p>
            <w:pPr>
              <w:pStyle w:val="10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0"/>
              </w:rPr>
            </w:pPr>
          </w:p>
        </w:tc>
      </w:tr>
    </w:tbl>
    <w:p>
      <w:pPr>
        <w:spacing w:before="0"/>
        <w:ind w:left="828" w:right="0" w:firstLine="0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评委签名：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sectPr>
      <w:footerReference r:id="rId3" w:type="default"/>
      <w:pgSz w:w="11906" w:h="16838"/>
      <w:pgMar w:top="1191" w:right="1519" w:bottom="1191" w:left="151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AD6E702A-92A7-6CE6-5BF5-1267A9F0718E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40001" w:csb1="00000000"/>
    <w:embedRegular r:id="rId2" w:fontKey="{AABF8C36-F297-5F02-5BF5-1267D809055A}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53B8379E-EEE4-700E-5BF5-1267BDA18584}"/>
  </w:font>
  <w:font w:name="方正黑体_GBK"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ED9E2021-1F6C-345A-5BF5-126771EC5677}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7B830"/>
    <w:multiLevelType w:val="singleLevel"/>
    <w:tmpl w:val="8777B83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ind w:left="1527" w:hanging="220"/>
      <w:outlineLvl w:val="2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tabs>
        <w:tab w:val="left" w:pos="142"/>
      </w:tabs>
      <w:spacing w:line="640" w:lineRule="exact"/>
      <w:jc w:val="center"/>
    </w:pPr>
    <w:rPr>
      <w:rFonts w:eastAsia="方正仿宋简体"/>
      <w:kern w:val="0"/>
      <w:sz w:val="32"/>
      <w:szCs w:val="36"/>
    </w:rPr>
  </w:style>
  <w:style w:type="paragraph" w:styleId="4">
    <w:name w:val="Body Text 3"/>
    <w:basedOn w:val="1"/>
    <w:qFormat/>
    <w:uiPriority w:val="0"/>
    <w:pPr>
      <w:jc w:val="center"/>
    </w:pPr>
    <w:rPr>
      <w:rFonts w:ascii="Times New Roman" w:hAnsi="Times New Roman" w:eastAsia="黑体"/>
      <w:sz w:val="44"/>
      <w:szCs w:val="24"/>
    </w:rPr>
  </w:style>
  <w:style w:type="paragraph" w:styleId="5">
    <w:name w:val="Body Text"/>
    <w:basedOn w:val="1"/>
    <w:qFormat/>
    <w:uiPriority w:val="1"/>
    <w:pPr>
      <w:ind w:left="828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1187</Words>
  <Characters>1214</Characters>
  <Lines>0</Lines>
  <Paragraphs>0</Paragraphs>
  <ScaleCrop>false</ScaleCrop>
  <LinksUpToDate>false</LinksUpToDate>
  <CharactersWithSpaces>1244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2020-09-15T20:57:00Z</dcterms:created>
  <dc:creator>北斗星</dc:creator>
  <cp:lastModifiedBy>iPhone</cp:lastModifiedBy>
  <dcterms:modified xsi:type="dcterms:W3CDTF">2024-10-19T07:55:07Z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2052-12.17.1</vt:lpwstr>
  </property>
  <property fmtid="{D5CDD505-2E9C-101B-9397-08002B2CF9AE}" pid="3" name="ICV">
    <vt:lpwstr>31456B727B1F48399DB76369DC911D95_13</vt:lpwstr>
  </property>
</Properties>
</file>