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D7F85"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t>关于组织 2025 年成都市中小学音乐教师《川腔蜀韵》技能比赛</w:t>
      </w:r>
    </w:p>
    <w:p w14:paraId="26E2B8EF">
      <w:pPr>
        <w:jc w:val="center"/>
        <w:rPr>
          <w:rFonts w:hint="eastAsia" w:ascii="方正公文小标宋" w:hAnsi="方正公文小标宋" w:eastAsia="方正公文小标宋" w:cs="方正公文小标宋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sz w:val="28"/>
          <w:szCs w:val="28"/>
        </w:rPr>
        <w:t>双流区级选拔赛的通知</w:t>
      </w:r>
    </w:p>
    <w:p w14:paraId="7543AF6D">
      <w:pPr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各中小学：</w:t>
      </w:r>
    </w:p>
    <w:p w14:paraId="53ABE04B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为深入贯彻教育部《中华优秀传统文化进中小学课程教材指南》等文件精神，全面落实四川地方音乐文化在中小学教育中的传承与发展，提升双流区中小学音乐教师对《川腔蜀韵》课程资源的教学实践能力与创新水平，充分展现四川民歌、舞蹈、川剧、曲艺等地方音乐特色及教师专业风采，为参加 2025 年成都市中小学音乐教师《川腔蜀韵》技能比赛选拔优秀人才，经研究，决定组织 2025 年成都市中小学音乐教师《川腔蜀韵》技能比赛双流区级选拔赛。现将有关事宜通知如下：</w:t>
      </w:r>
    </w:p>
    <w:p w14:paraId="38D7B5B6">
      <w:pPr>
        <w:pStyle w:val="5"/>
        <w:bidi w:val="0"/>
        <w:rPr>
          <w:rFonts w:hint="eastAsia"/>
        </w:rPr>
      </w:pPr>
      <w:r>
        <w:rPr>
          <w:rFonts w:hint="eastAsia"/>
        </w:rPr>
        <w:t>一、参加对象</w:t>
      </w:r>
    </w:p>
    <w:p w14:paraId="05207655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双流区中小学在职在岗音乐教师。</w:t>
      </w:r>
    </w:p>
    <w:p w14:paraId="004B2CD5">
      <w:pPr>
        <w:pStyle w:val="5"/>
        <w:bidi w:val="0"/>
        <w:rPr>
          <w:rFonts w:hint="eastAsia"/>
          <w:b/>
        </w:rPr>
      </w:pPr>
      <w:r>
        <w:rPr>
          <w:rFonts w:hint="eastAsia"/>
          <w:b/>
        </w:rPr>
        <w:t>二、推荐名额</w:t>
      </w:r>
    </w:p>
    <w:p w14:paraId="0656422C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各中小学可推荐音乐教师参加区级选拔赛，推荐名额不限，但最终将根据选拔赛成绩，按照成都市规定的名额（小学 3 名、中学 2 名（含初、高中））推荐优秀教师参加市级比赛。</w:t>
      </w:r>
    </w:p>
    <w:p w14:paraId="5E34F8AB">
      <w:pPr>
        <w:pStyle w:val="5"/>
        <w:bidi w:val="0"/>
        <w:rPr>
          <w:rFonts w:hint="eastAsia"/>
          <w:b/>
        </w:rPr>
      </w:pPr>
      <w:r>
        <w:rPr>
          <w:rFonts w:hint="eastAsia"/>
          <w:b/>
        </w:rPr>
        <w:t>三、比赛内容及要求</w:t>
      </w:r>
    </w:p>
    <w:p w14:paraId="348B8D0B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比赛内容为四川省中小学地方音乐课程资源《川腔蜀韵》中各单元内容，涵盖四川民歌演唱、四川舞蹈表演、川剧表演、四川曲艺表演及乐曲演奏等，参赛教师任选其一。具体要求如下：</w:t>
      </w:r>
    </w:p>
    <w:p w14:paraId="0A8FE6C9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四川民歌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：需用方言演唱，并自备伴奏带或钢琴伴奏（限 6 分钟以内）。</w:t>
      </w:r>
    </w:p>
    <w:p w14:paraId="54D41D63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四川民族民间舞蹈表演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：鼓励改编、创新并自备服装和伴奏带（限 6 分钟以内）。</w:t>
      </w:r>
    </w:p>
    <w:p w14:paraId="06DFD26F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川剧表演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：需自备服装、道具及伴奏（限 6 分钟以内）。</w:t>
      </w:r>
    </w:p>
    <w:p w14:paraId="3EAF2356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四川曲艺表演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：需自备服装、道具（限时 6 分钟以内，含道具准备时间）。</w:t>
      </w:r>
    </w:p>
    <w:p w14:paraId="0453A51D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8"/>
          <w:szCs w:val="28"/>
        </w:rPr>
        <w:t>四川乐曲演奏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：鼓励使用四川传统乐器（如川剧锣鼓、四川扬琴、竹琴、竹笛等）（限 6 分钟以内）。</w:t>
      </w:r>
    </w:p>
    <w:p w14:paraId="47ACBEBE">
      <w:pPr>
        <w:pStyle w:val="5"/>
        <w:bidi w:val="0"/>
        <w:rPr>
          <w:rFonts w:hint="eastAsia"/>
          <w:b/>
        </w:rPr>
      </w:pPr>
      <w:r>
        <w:rPr>
          <w:rFonts w:hint="eastAsia"/>
          <w:b/>
        </w:rPr>
        <w:t>四、时间、地点安排</w:t>
      </w:r>
    </w:p>
    <w:p w14:paraId="4A2D5E08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比赛时间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2025年9月11日。</w:t>
      </w:r>
    </w:p>
    <w:p w14:paraId="2AC78BD9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比赛地点：棠湖中学实验学校（东区）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。</w:t>
      </w:r>
    </w:p>
    <w:p w14:paraId="1ADA7BDF">
      <w:pPr>
        <w:pStyle w:val="5"/>
        <w:bidi w:val="0"/>
        <w:rPr>
          <w:rFonts w:hint="eastAsia"/>
          <w:b/>
        </w:rPr>
      </w:pPr>
      <w:r>
        <w:rPr>
          <w:rFonts w:hint="eastAsia"/>
          <w:b/>
        </w:rPr>
        <w:t>五、推荐方式</w:t>
      </w:r>
    </w:p>
    <w:p w14:paraId="4CCADD1B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（一）报名材料</w:t>
      </w:r>
    </w:p>
    <w:p w14:paraId="2B33136C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填写《2025 年成都市中小学音乐教师〈川腔蜀韵〉技能比赛双流区级选拔赛报名表》（见附件），需注明组别（小学、中学（初中、高中））。</w:t>
      </w:r>
    </w:p>
    <w:p w14:paraId="0D57CAFB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（二）报送时间及方式</w:t>
      </w:r>
    </w:p>
    <w:p w14:paraId="0A3CC54B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请各中小学于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2025年6月30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前将比赛报名表（附件）报送至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836734867@qq.com。联系人：颜老师18382963361。</w:t>
      </w:r>
      <w:bookmarkStart w:id="0" w:name="_GoBack"/>
      <w:bookmarkEnd w:id="0"/>
    </w:p>
    <w:p w14:paraId="557034E2">
      <w:pPr>
        <w:pStyle w:val="5"/>
        <w:bidi w:val="0"/>
        <w:rPr>
          <w:rFonts w:hint="eastAsia"/>
          <w:b/>
          <w:lang w:eastAsia="zh-CN"/>
        </w:rPr>
      </w:pPr>
      <w:r>
        <w:rPr>
          <w:rFonts w:hint="eastAsia"/>
          <w:b/>
        </w:rPr>
        <w:t>六、</w:t>
      </w:r>
      <w:r>
        <w:rPr>
          <w:rFonts w:hint="eastAsia"/>
          <w:b/>
          <w:lang w:val="en-US" w:eastAsia="zh-CN"/>
        </w:rPr>
        <w:t>奖项设置</w:t>
      </w:r>
    </w:p>
    <w:p w14:paraId="7AEF457F"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本次活动获奖比例为80%，按照3：5：2的比例评选出一、二、三等奖，并推举优秀选手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参加 2025 年成都市中小学音乐教师《川腔蜀韵》技能比赛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。</w:t>
      </w:r>
    </w:p>
    <w:p w14:paraId="7A9DB91D">
      <w:pPr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附件：2025 年成都市中小学音乐教师〈川腔蜀韵〉技能比赛双流区级选拔赛报名表</w:t>
      </w:r>
    </w:p>
    <w:p w14:paraId="2F3A4408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6CFA6B79">
      <w:pPr>
        <w:jc w:val="righ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成都市双流区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教育科学研究院</w:t>
      </w:r>
    </w:p>
    <w:p w14:paraId="2006BCB5">
      <w:pPr>
        <w:jc w:val="righ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双流区教育学会中小学音乐教学专委会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br w:type="textWrapping"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2025年6月6日</w:t>
      </w:r>
    </w:p>
    <w:p w14:paraId="2962D931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605A1577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096EBB6E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395D2DBE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73585D1E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759EC125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780FF1EA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20B6F471">
      <w:pPr>
        <w:rPr>
          <w:rFonts w:ascii="宋体" w:hAnsi="宋体" w:eastAsia="宋体" w:cs="宋体"/>
          <w:b/>
          <w:bCs/>
          <w:spacing w:val="-8"/>
          <w:sz w:val="31"/>
          <w:szCs w:val="31"/>
        </w:rPr>
      </w:pPr>
      <w:r>
        <w:rPr>
          <w:rFonts w:ascii="宋体" w:hAnsi="宋体" w:eastAsia="宋体" w:cs="宋体"/>
          <w:b/>
          <w:bCs/>
          <w:spacing w:val="-8"/>
          <w:sz w:val="31"/>
          <w:szCs w:val="31"/>
        </w:rPr>
        <w:br w:type="page"/>
      </w:r>
    </w:p>
    <w:p w14:paraId="331C85AA">
      <w:pPr>
        <w:spacing w:before="101" w:line="224" w:lineRule="auto"/>
        <w:ind w:left="363"/>
        <w:rPr>
          <w:rFonts w:ascii="宋体" w:hAnsi="宋体" w:eastAsia="宋体" w:cs="宋体"/>
          <w:b/>
          <w:bCs/>
          <w:spacing w:val="-8"/>
          <w:sz w:val="31"/>
          <w:szCs w:val="3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8599AAD">
      <w:pPr>
        <w:spacing w:before="101" w:line="224" w:lineRule="auto"/>
        <w:ind w:left="0" w:leftChars="0" w:firstLine="0" w:firstLineChars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8"/>
          <w:sz w:val="31"/>
          <w:szCs w:val="31"/>
        </w:rPr>
        <w:t>附件</w:t>
      </w:r>
    </w:p>
    <w:p w14:paraId="39254CD1">
      <w:pPr>
        <w:spacing w:before="256" w:line="235" w:lineRule="auto"/>
        <w:ind w:left="0" w:leftChars="0" w:firstLine="0" w:firstLineChars="0"/>
        <w:jc w:val="center"/>
        <w:outlineLvl w:val="2"/>
        <w:rPr>
          <w:rFonts w:ascii="方正黑体_GBK" w:hAnsi="方正黑体_GBK" w:eastAsia="方正黑体_GBK" w:cs="方正黑体_GBK"/>
          <w:sz w:val="35"/>
          <w:szCs w:val="35"/>
        </w:rPr>
      </w:pPr>
      <w:r>
        <w:rPr>
          <w:rFonts w:hint="eastAsia" w:ascii="方正黑体_GBK" w:hAnsi="方正黑体_GBK" w:eastAsia="方正黑体_GBK" w:cs="方正黑体_GBK"/>
          <w:b/>
          <w:bCs/>
          <w:spacing w:val="9"/>
          <w:sz w:val="35"/>
          <w:szCs w:val="35"/>
        </w:rPr>
        <w:t>2025 年成都市中小学音乐教师</w:t>
      </w:r>
      <w:r>
        <w:rPr>
          <w:rFonts w:hint="eastAsia" w:ascii="方正黑体_GBK" w:hAnsi="方正黑体_GBK" w:eastAsia="方正黑体_GBK" w:cs="方正黑体_GBK"/>
          <w:b/>
          <w:bCs/>
          <w:spacing w:val="9"/>
          <w:sz w:val="35"/>
          <w:szCs w:val="35"/>
          <w:lang w:eastAsia="zh-CN"/>
        </w:rPr>
        <w:t>《</w:t>
      </w:r>
      <w:r>
        <w:rPr>
          <w:rFonts w:hint="eastAsia" w:ascii="方正黑体_GBK" w:hAnsi="方正黑体_GBK" w:eastAsia="方正黑体_GBK" w:cs="方正黑体_GBK"/>
          <w:b/>
          <w:bCs/>
          <w:spacing w:val="9"/>
          <w:sz w:val="35"/>
          <w:szCs w:val="35"/>
        </w:rPr>
        <w:t>川腔蜀韵</w:t>
      </w:r>
      <w:r>
        <w:rPr>
          <w:rFonts w:hint="eastAsia" w:ascii="方正黑体_GBK" w:hAnsi="方正黑体_GBK" w:eastAsia="方正黑体_GBK" w:cs="方正黑体_GBK"/>
          <w:b/>
          <w:bCs/>
          <w:spacing w:val="9"/>
          <w:sz w:val="35"/>
          <w:szCs w:val="35"/>
          <w:lang w:eastAsia="zh-CN"/>
        </w:rPr>
        <w:t>》</w:t>
      </w:r>
      <w:r>
        <w:rPr>
          <w:rFonts w:hint="eastAsia" w:ascii="方正黑体_GBK" w:hAnsi="方正黑体_GBK" w:eastAsia="方正黑体_GBK" w:cs="方正黑体_GBK"/>
          <w:b/>
          <w:bCs/>
          <w:spacing w:val="9"/>
          <w:sz w:val="35"/>
          <w:szCs w:val="35"/>
        </w:rPr>
        <w:t>技能比赛双流区级选拔赛报名表</w:t>
      </w:r>
    </w:p>
    <w:p w14:paraId="5414E483">
      <w:pPr>
        <w:spacing w:line="233" w:lineRule="exact"/>
      </w:pPr>
    </w:p>
    <w:tbl>
      <w:tblPr>
        <w:tblStyle w:val="10"/>
        <w:tblW w:w="136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2233"/>
        <w:gridCol w:w="4162"/>
        <w:gridCol w:w="866"/>
        <w:gridCol w:w="867"/>
        <w:gridCol w:w="2146"/>
        <w:gridCol w:w="1270"/>
        <w:gridCol w:w="1270"/>
      </w:tblGrid>
      <w:tr w14:paraId="1FEA0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19" w:type="dxa"/>
            <w:shd w:val="clear" w:color="auto" w:fill="E3F2D9"/>
            <w:vAlign w:val="top"/>
          </w:tcPr>
          <w:p w14:paraId="52FE6C82">
            <w:pPr>
              <w:spacing w:before="211" w:line="232" w:lineRule="auto"/>
              <w:ind w:left="0" w:leftChars="0" w:firstLine="0" w:firstLineChars="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10"/>
                <w:sz w:val="28"/>
                <w:szCs w:val="28"/>
              </w:rPr>
              <w:t>序号</w:t>
            </w:r>
          </w:p>
        </w:tc>
        <w:tc>
          <w:tcPr>
            <w:tcW w:w="2233" w:type="dxa"/>
            <w:shd w:val="clear" w:color="auto" w:fill="E3F2D9"/>
            <w:vAlign w:val="top"/>
          </w:tcPr>
          <w:p w14:paraId="160359E5">
            <w:pPr>
              <w:spacing w:before="211" w:line="231" w:lineRule="auto"/>
              <w:ind w:left="0" w:leftChars="0" w:firstLine="0" w:firstLineChars="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5"/>
                <w:sz w:val="28"/>
                <w:szCs w:val="28"/>
                <w:lang w:val="en-US" w:eastAsia="zh-CN"/>
              </w:rPr>
              <w:t>学校</w:t>
            </w:r>
            <w:r>
              <w:rPr>
                <w:rFonts w:ascii="方正仿宋_GBK" w:hAnsi="方正仿宋_GBK" w:eastAsia="方正仿宋_GBK" w:cs="方正仿宋_GBK"/>
                <w:b/>
                <w:bCs/>
                <w:spacing w:val="-5"/>
                <w:sz w:val="28"/>
                <w:szCs w:val="28"/>
              </w:rPr>
              <w:t>名称</w:t>
            </w:r>
          </w:p>
        </w:tc>
        <w:tc>
          <w:tcPr>
            <w:tcW w:w="4162" w:type="dxa"/>
            <w:shd w:val="clear" w:color="auto" w:fill="E3F2D9"/>
            <w:vAlign w:val="top"/>
          </w:tcPr>
          <w:p w14:paraId="401D2AF6">
            <w:pPr>
              <w:spacing w:before="211" w:line="232" w:lineRule="auto"/>
              <w:ind w:left="0" w:leftChars="0" w:firstLine="0" w:firstLineChars="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9"/>
                <w:sz w:val="28"/>
                <w:szCs w:val="28"/>
              </w:rPr>
              <w:t>姓名</w:t>
            </w:r>
          </w:p>
        </w:tc>
        <w:tc>
          <w:tcPr>
            <w:tcW w:w="866" w:type="dxa"/>
            <w:shd w:val="clear" w:color="auto" w:fill="E3F2D9"/>
            <w:vAlign w:val="top"/>
          </w:tcPr>
          <w:p w14:paraId="73719ED3">
            <w:pPr>
              <w:spacing w:before="211" w:line="231" w:lineRule="auto"/>
              <w:ind w:left="0" w:leftChars="0" w:firstLine="0" w:firstLineChars="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13"/>
                <w:sz w:val="28"/>
                <w:szCs w:val="28"/>
              </w:rPr>
              <w:t>性别</w:t>
            </w:r>
          </w:p>
        </w:tc>
        <w:tc>
          <w:tcPr>
            <w:tcW w:w="867" w:type="dxa"/>
            <w:shd w:val="clear" w:color="auto" w:fill="E3F2D9"/>
            <w:vAlign w:val="top"/>
          </w:tcPr>
          <w:p w14:paraId="0390B593">
            <w:pPr>
              <w:spacing w:before="211" w:line="232" w:lineRule="auto"/>
              <w:ind w:left="0" w:leftChars="0" w:firstLine="0" w:firstLineChars="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8"/>
                <w:sz w:val="28"/>
                <w:szCs w:val="28"/>
              </w:rPr>
              <w:t>年龄</w:t>
            </w:r>
          </w:p>
        </w:tc>
        <w:tc>
          <w:tcPr>
            <w:tcW w:w="2146" w:type="dxa"/>
            <w:shd w:val="clear" w:color="auto" w:fill="E3F2D9"/>
            <w:vAlign w:val="top"/>
          </w:tcPr>
          <w:p w14:paraId="42A3842D">
            <w:pPr>
              <w:spacing w:before="211" w:line="232" w:lineRule="auto"/>
              <w:ind w:left="0" w:leftChars="0" w:firstLine="0" w:firstLineChars="0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b/>
                <w:bCs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1270" w:type="dxa"/>
            <w:shd w:val="clear" w:color="auto" w:fill="E3F2D9"/>
            <w:vAlign w:val="top"/>
          </w:tcPr>
          <w:p w14:paraId="75360F36">
            <w:pPr>
              <w:spacing w:before="211" w:line="234" w:lineRule="auto"/>
              <w:ind w:left="0" w:leftChars="0" w:firstLine="0" w:firstLineChars="0"/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sz w:val="28"/>
                <w:szCs w:val="28"/>
                <w:lang w:val="en-US" w:eastAsia="zh-CN"/>
              </w:rPr>
              <w:t>艺术类别</w:t>
            </w:r>
          </w:p>
        </w:tc>
        <w:tc>
          <w:tcPr>
            <w:tcW w:w="1270" w:type="dxa"/>
            <w:shd w:val="clear" w:color="auto" w:fill="E3F2D9"/>
            <w:vAlign w:val="top"/>
          </w:tcPr>
          <w:p w14:paraId="54EF4AE4">
            <w:pPr>
              <w:spacing w:before="211" w:line="234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2"/>
                <w:sz w:val="28"/>
                <w:szCs w:val="28"/>
                <w:lang w:val="en-US" w:eastAsia="zh-CN"/>
              </w:rPr>
              <w:t>组别</w:t>
            </w:r>
          </w:p>
        </w:tc>
      </w:tr>
      <w:tr w14:paraId="5D658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19" w:type="dxa"/>
            <w:vAlign w:val="top"/>
          </w:tcPr>
          <w:p w14:paraId="3B7A465D">
            <w:pPr>
              <w:pStyle w:val="11"/>
            </w:pPr>
          </w:p>
        </w:tc>
        <w:tc>
          <w:tcPr>
            <w:tcW w:w="2233" w:type="dxa"/>
            <w:vAlign w:val="top"/>
          </w:tcPr>
          <w:p w14:paraId="61A32940">
            <w:pPr>
              <w:pStyle w:val="11"/>
            </w:pPr>
          </w:p>
        </w:tc>
        <w:tc>
          <w:tcPr>
            <w:tcW w:w="4162" w:type="dxa"/>
            <w:vAlign w:val="top"/>
          </w:tcPr>
          <w:p w14:paraId="415F0E38">
            <w:pPr>
              <w:pStyle w:val="11"/>
            </w:pPr>
          </w:p>
        </w:tc>
        <w:tc>
          <w:tcPr>
            <w:tcW w:w="866" w:type="dxa"/>
            <w:vAlign w:val="top"/>
          </w:tcPr>
          <w:p w14:paraId="45025927">
            <w:pPr>
              <w:pStyle w:val="11"/>
            </w:pPr>
          </w:p>
        </w:tc>
        <w:tc>
          <w:tcPr>
            <w:tcW w:w="867" w:type="dxa"/>
            <w:vAlign w:val="top"/>
          </w:tcPr>
          <w:p w14:paraId="698FC02D">
            <w:pPr>
              <w:pStyle w:val="11"/>
            </w:pPr>
          </w:p>
        </w:tc>
        <w:tc>
          <w:tcPr>
            <w:tcW w:w="2146" w:type="dxa"/>
            <w:vAlign w:val="top"/>
          </w:tcPr>
          <w:p w14:paraId="7D58C1D3">
            <w:pPr>
              <w:pStyle w:val="11"/>
            </w:pPr>
          </w:p>
        </w:tc>
        <w:tc>
          <w:tcPr>
            <w:tcW w:w="1270" w:type="dxa"/>
            <w:vAlign w:val="top"/>
          </w:tcPr>
          <w:p w14:paraId="38573464">
            <w:pPr>
              <w:pStyle w:val="11"/>
            </w:pPr>
          </w:p>
        </w:tc>
        <w:tc>
          <w:tcPr>
            <w:tcW w:w="1270" w:type="dxa"/>
            <w:vAlign w:val="top"/>
          </w:tcPr>
          <w:p w14:paraId="5DBF6DAF">
            <w:pPr>
              <w:pStyle w:val="11"/>
            </w:pPr>
          </w:p>
        </w:tc>
      </w:tr>
      <w:tr w14:paraId="05BAB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19" w:type="dxa"/>
            <w:vAlign w:val="top"/>
          </w:tcPr>
          <w:p w14:paraId="25269433">
            <w:pPr>
              <w:pStyle w:val="11"/>
            </w:pPr>
          </w:p>
        </w:tc>
        <w:tc>
          <w:tcPr>
            <w:tcW w:w="2233" w:type="dxa"/>
            <w:vAlign w:val="top"/>
          </w:tcPr>
          <w:p w14:paraId="72AF40AA">
            <w:pPr>
              <w:pStyle w:val="11"/>
            </w:pPr>
          </w:p>
        </w:tc>
        <w:tc>
          <w:tcPr>
            <w:tcW w:w="4162" w:type="dxa"/>
            <w:vAlign w:val="top"/>
          </w:tcPr>
          <w:p w14:paraId="78DC0F59">
            <w:pPr>
              <w:pStyle w:val="11"/>
            </w:pPr>
          </w:p>
        </w:tc>
        <w:tc>
          <w:tcPr>
            <w:tcW w:w="866" w:type="dxa"/>
            <w:vAlign w:val="top"/>
          </w:tcPr>
          <w:p w14:paraId="7994A947">
            <w:pPr>
              <w:pStyle w:val="11"/>
            </w:pPr>
          </w:p>
        </w:tc>
        <w:tc>
          <w:tcPr>
            <w:tcW w:w="867" w:type="dxa"/>
            <w:vAlign w:val="top"/>
          </w:tcPr>
          <w:p w14:paraId="188ED2CA">
            <w:pPr>
              <w:pStyle w:val="11"/>
            </w:pPr>
          </w:p>
        </w:tc>
        <w:tc>
          <w:tcPr>
            <w:tcW w:w="2146" w:type="dxa"/>
            <w:vAlign w:val="top"/>
          </w:tcPr>
          <w:p w14:paraId="51943DB5">
            <w:pPr>
              <w:pStyle w:val="11"/>
            </w:pPr>
          </w:p>
        </w:tc>
        <w:tc>
          <w:tcPr>
            <w:tcW w:w="1270" w:type="dxa"/>
            <w:vAlign w:val="top"/>
          </w:tcPr>
          <w:p w14:paraId="4EC74626">
            <w:pPr>
              <w:pStyle w:val="11"/>
            </w:pPr>
          </w:p>
        </w:tc>
        <w:tc>
          <w:tcPr>
            <w:tcW w:w="1270" w:type="dxa"/>
            <w:vAlign w:val="top"/>
          </w:tcPr>
          <w:p w14:paraId="3F8A9D54">
            <w:pPr>
              <w:pStyle w:val="11"/>
            </w:pPr>
          </w:p>
        </w:tc>
      </w:tr>
      <w:tr w14:paraId="66A1B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19" w:type="dxa"/>
            <w:vAlign w:val="top"/>
          </w:tcPr>
          <w:p w14:paraId="52D8672D">
            <w:pPr>
              <w:pStyle w:val="11"/>
            </w:pPr>
          </w:p>
        </w:tc>
        <w:tc>
          <w:tcPr>
            <w:tcW w:w="2233" w:type="dxa"/>
            <w:vAlign w:val="top"/>
          </w:tcPr>
          <w:p w14:paraId="0E23D388">
            <w:pPr>
              <w:pStyle w:val="11"/>
            </w:pPr>
          </w:p>
        </w:tc>
        <w:tc>
          <w:tcPr>
            <w:tcW w:w="4162" w:type="dxa"/>
            <w:vAlign w:val="top"/>
          </w:tcPr>
          <w:p w14:paraId="6717BEF4">
            <w:pPr>
              <w:pStyle w:val="11"/>
            </w:pPr>
          </w:p>
        </w:tc>
        <w:tc>
          <w:tcPr>
            <w:tcW w:w="866" w:type="dxa"/>
            <w:vAlign w:val="top"/>
          </w:tcPr>
          <w:p w14:paraId="4403AC30">
            <w:pPr>
              <w:pStyle w:val="11"/>
            </w:pPr>
          </w:p>
        </w:tc>
        <w:tc>
          <w:tcPr>
            <w:tcW w:w="867" w:type="dxa"/>
            <w:vAlign w:val="top"/>
          </w:tcPr>
          <w:p w14:paraId="195EEE41">
            <w:pPr>
              <w:pStyle w:val="11"/>
            </w:pPr>
          </w:p>
        </w:tc>
        <w:tc>
          <w:tcPr>
            <w:tcW w:w="2146" w:type="dxa"/>
            <w:vAlign w:val="top"/>
          </w:tcPr>
          <w:p w14:paraId="3A70997F">
            <w:pPr>
              <w:pStyle w:val="11"/>
            </w:pPr>
          </w:p>
        </w:tc>
        <w:tc>
          <w:tcPr>
            <w:tcW w:w="1270" w:type="dxa"/>
            <w:vAlign w:val="top"/>
          </w:tcPr>
          <w:p w14:paraId="72332061">
            <w:pPr>
              <w:pStyle w:val="11"/>
            </w:pPr>
          </w:p>
        </w:tc>
        <w:tc>
          <w:tcPr>
            <w:tcW w:w="1270" w:type="dxa"/>
            <w:vAlign w:val="top"/>
          </w:tcPr>
          <w:p w14:paraId="7CB17E62">
            <w:pPr>
              <w:pStyle w:val="11"/>
            </w:pPr>
          </w:p>
        </w:tc>
      </w:tr>
      <w:tr w14:paraId="03A8E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19" w:type="dxa"/>
            <w:vAlign w:val="top"/>
          </w:tcPr>
          <w:p w14:paraId="0B4987D7">
            <w:pPr>
              <w:pStyle w:val="11"/>
            </w:pPr>
          </w:p>
        </w:tc>
        <w:tc>
          <w:tcPr>
            <w:tcW w:w="2233" w:type="dxa"/>
            <w:vAlign w:val="top"/>
          </w:tcPr>
          <w:p w14:paraId="068E35E1">
            <w:pPr>
              <w:pStyle w:val="11"/>
            </w:pPr>
          </w:p>
        </w:tc>
        <w:tc>
          <w:tcPr>
            <w:tcW w:w="4162" w:type="dxa"/>
            <w:vAlign w:val="top"/>
          </w:tcPr>
          <w:p w14:paraId="26B555A4">
            <w:pPr>
              <w:pStyle w:val="11"/>
            </w:pPr>
          </w:p>
        </w:tc>
        <w:tc>
          <w:tcPr>
            <w:tcW w:w="866" w:type="dxa"/>
            <w:vAlign w:val="top"/>
          </w:tcPr>
          <w:p w14:paraId="3D8597E8">
            <w:pPr>
              <w:pStyle w:val="11"/>
            </w:pPr>
          </w:p>
        </w:tc>
        <w:tc>
          <w:tcPr>
            <w:tcW w:w="867" w:type="dxa"/>
            <w:vAlign w:val="top"/>
          </w:tcPr>
          <w:p w14:paraId="1A66E402">
            <w:pPr>
              <w:pStyle w:val="11"/>
            </w:pPr>
          </w:p>
        </w:tc>
        <w:tc>
          <w:tcPr>
            <w:tcW w:w="2146" w:type="dxa"/>
            <w:vAlign w:val="top"/>
          </w:tcPr>
          <w:p w14:paraId="44F94CB7">
            <w:pPr>
              <w:pStyle w:val="11"/>
            </w:pPr>
          </w:p>
        </w:tc>
        <w:tc>
          <w:tcPr>
            <w:tcW w:w="1270" w:type="dxa"/>
            <w:vAlign w:val="top"/>
          </w:tcPr>
          <w:p w14:paraId="61B5211C">
            <w:pPr>
              <w:pStyle w:val="11"/>
            </w:pPr>
          </w:p>
        </w:tc>
        <w:tc>
          <w:tcPr>
            <w:tcW w:w="1270" w:type="dxa"/>
            <w:vAlign w:val="top"/>
          </w:tcPr>
          <w:p w14:paraId="40CD2E0B">
            <w:pPr>
              <w:pStyle w:val="11"/>
            </w:pPr>
          </w:p>
        </w:tc>
      </w:tr>
      <w:tr w14:paraId="038FD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819" w:type="dxa"/>
            <w:vAlign w:val="top"/>
          </w:tcPr>
          <w:p w14:paraId="48AB7D59">
            <w:pPr>
              <w:pStyle w:val="11"/>
            </w:pPr>
          </w:p>
        </w:tc>
        <w:tc>
          <w:tcPr>
            <w:tcW w:w="2233" w:type="dxa"/>
            <w:vAlign w:val="top"/>
          </w:tcPr>
          <w:p w14:paraId="26BCD10A">
            <w:pPr>
              <w:pStyle w:val="11"/>
            </w:pPr>
          </w:p>
        </w:tc>
        <w:tc>
          <w:tcPr>
            <w:tcW w:w="4162" w:type="dxa"/>
            <w:vAlign w:val="top"/>
          </w:tcPr>
          <w:p w14:paraId="6E6E7F23">
            <w:pPr>
              <w:pStyle w:val="11"/>
            </w:pPr>
          </w:p>
        </w:tc>
        <w:tc>
          <w:tcPr>
            <w:tcW w:w="866" w:type="dxa"/>
            <w:vAlign w:val="top"/>
          </w:tcPr>
          <w:p w14:paraId="7A7883F9">
            <w:pPr>
              <w:pStyle w:val="11"/>
            </w:pPr>
          </w:p>
        </w:tc>
        <w:tc>
          <w:tcPr>
            <w:tcW w:w="867" w:type="dxa"/>
            <w:vAlign w:val="top"/>
          </w:tcPr>
          <w:p w14:paraId="48BB183B">
            <w:pPr>
              <w:pStyle w:val="11"/>
            </w:pPr>
          </w:p>
        </w:tc>
        <w:tc>
          <w:tcPr>
            <w:tcW w:w="2146" w:type="dxa"/>
            <w:vAlign w:val="top"/>
          </w:tcPr>
          <w:p w14:paraId="48068BB5">
            <w:pPr>
              <w:pStyle w:val="11"/>
            </w:pPr>
          </w:p>
        </w:tc>
        <w:tc>
          <w:tcPr>
            <w:tcW w:w="1270" w:type="dxa"/>
            <w:vAlign w:val="top"/>
          </w:tcPr>
          <w:p w14:paraId="363D068C">
            <w:pPr>
              <w:pStyle w:val="11"/>
            </w:pPr>
          </w:p>
        </w:tc>
        <w:tc>
          <w:tcPr>
            <w:tcW w:w="1270" w:type="dxa"/>
            <w:vAlign w:val="top"/>
          </w:tcPr>
          <w:p w14:paraId="58F78228">
            <w:pPr>
              <w:pStyle w:val="11"/>
            </w:pPr>
          </w:p>
        </w:tc>
      </w:tr>
      <w:tr w14:paraId="212BFB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19" w:type="dxa"/>
            <w:vAlign w:val="top"/>
          </w:tcPr>
          <w:p w14:paraId="183A4FCE">
            <w:pPr>
              <w:pStyle w:val="11"/>
            </w:pPr>
          </w:p>
        </w:tc>
        <w:tc>
          <w:tcPr>
            <w:tcW w:w="2233" w:type="dxa"/>
            <w:vAlign w:val="top"/>
          </w:tcPr>
          <w:p w14:paraId="36C97A24">
            <w:pPr>
              <w:pStyle w:val="11"/>
            </w:pPr>
          </w:p>
        </w:tc>
        <w:tc>
          <w:tcPr>
            <w:tcW w:w="4162" w:type="dxa"/>
            <w:vAlign w:val="top"/>
          </w:tcPr>
          <w:p w14:paraId="0B3EFC1E">
            <w:pPr>
              <w:pStyle w:val="11"/>
            </w:pPr>
          </w:p>
        </w:tc>
        <w:tc>
          <w:tcPr>
            <w:tcW w:w="866" w:type="dxa"/>
            <w:vAlign w:val="top"/>
          </w:tcPr>
          <w:p w14:paraId="2DF9A29E">
            <w:pPr>
              <w:pStyle w:val="11"/>
            </w:pPr>
          </w:p>
        </w:tc>
        <w:tc>
          <w:tcPr>
            <w:tcW w:w="867" w:type="dxa"/>
            <w:vAlign w:val="top"/>
          </w:tcPr>
          <w:p w14:paraId="094812CC">
            <w:pPr>
              <w:pStyle w:val="11"/>
            </w:pPr>
          </w:p>
        </w:tc>
        <w:tc>
          <w:tcPr>
            <w:tcW w:w="2146" w:type="dxa"/>
            <w:vAlign w:val="top"/>
          </w:tcPr>
          <w:p w14:paraId="10B9F9EB">
            <w:pPr>
              <w:pStyle w:val="11"/>
            </w:pPr>
          </w:p>
        </w:tc>
        <w:tc>
          <w:tcPr>
            <w:tcW w:w="1270" w:type="dxa"/>
            <w:vAlign w:val="top"/>
          </w:tcPr>
          <w:p w14:paraId="2AE5858B">
            <w:pPr>
              <w:pStyle w:val="11"/>
            </w:pPr>
          </w:p>
        </w:tc>
        <w:tc>
          <w:tcPr>
            <w:tcW w:w="1270" w:type="dxa"/>
            <w:vAlign w:val="top"/>
          </w:tcPr>
          <w:p w14:paraId="050AFA18">
            <w:pPr>
              <w:pStyle w:val="11"/>
            </w:pPr>
          </w:p>
        </w:tc>
      </w:tr>
    </w:tbl>
    <w:p w14:paraId="5694F9C8">
      <w:pPr>
        <w:rPr>
          <w:rFonts w:hint="eastAsia" w:ascii="方正仿宋_GBK" w:hAnsi="方正仿宋_GBK" w:eastAsia="方正仿宋_GBK" w:cs="方正仿宋_GBK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5077E5B-237E-4296-924C-0A8261D47E0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9C396DF-2CB6-4692-8C71-7D12A046AA27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1DFB3E6-6A65-4B6F-BF27-F8F8E3C2FE4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55FA8"/>
    <w:rsid w:val="11B55FA8"/>
    <w:rsid w:val="2D7E3A47"/>
    <w:rsid w:val="36B9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92" w:firstLineChars="20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973</Words>
  <Characters>1022</Characters>
  <Lines>0</Lines>
  <Paragraphs>0</Paragraphs>
  <TotalTime>0</TotalTime>
  <ScaleCrop>false</ScaleCrop>
  <LinksUpToDate>false</LinksUpToDate>
  <CharactersWithSpaces>1047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2025-06-06T01:59:00Z</dcterms:created>
  <dc:creator>小鼠标</dc:creator>
  <cp:lastModifiedBy>小鼠标</cp:lastModifiedBy>
  <dcterms:modified xsi:type="dcterms:W3CDTF">2025-06-09T08:32:35Z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131BE276ACB04B0295732CB57C5611C3_11</vt:lpwstr>
  </property>
  <property fmtid="{D5CDD505-2E9C-101B-9397-08002B2CF9AE}" pid="4" name="KSOTemplateDocerSaveRecord">
    <vt:lpwstr>eyJoZGlkIjoiNTY3MzE4OGRhMDhlY2ExMzczODhjNzE1ODFmNWQ4NDEiLCJ1c2VySWQiOiI0MDY1MTI5MTkifQ==</vt:lpwstr>
  </property>
</Properties>
</file>