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0F104">
      <w:pPr>
        <w:widowControl w:val="0"/>
        <w:spacing w:after="0" w:line="240" w:lineRule="auto"/>
        <w:ind w:firstLine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mc:AlternateContent>
        <mc:Choice Requires="wpsCustomData">
          <wpsCustomData:docfieldStart id="0" docfieldname="标题_1" hidden="0" print="1" readonly="0" index="4"/>
        </mc:Choice>
      </mc:AlternateContent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关于召开双流区中职2026年职教高考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br w:type="textWrapping"/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考前复习策略经验交流会的通知</w:t>
      </w:r>
      <mc:AlternateContent>
        <mc:Choice Requires="wpsCustomData">
          <wpsCustomData:docfieldEnd id="0"/>
        </mc:Choice>
      </mc:AlternateContent>
    </w:p>
    <w:p w14:paraId="1B50B4DE">
      <w:pPr>
        <w:pStyle w:val="11"/>
        <w:bidi w:val="0"/>
        <w:spacing w:beforeAutospacing="0" w:afterAutospacing="0" w:line="300" w:lineRule="exact"/>
      </w:pPr>
    </w:p>
    <w:p w14:paraId="653AF4C8">
      <w:pPr>
        <w:pStyle w:val="18"/>
        <w:widowControl/>
        <w:spacing w:line="360" w:lineRule="auto"/>
        <w:rPr>
          <w:rFonts w:ascii="Times New Roman" w:hAnsi="Times New Roman" w:eastAsia="仿宋_GB2312" w:cs="仿宋_GB2312"/>
          <w:sz w:val="28"/>
          <w:szCs w:val="28"/>
        </w:rPr>
      </w:pPr>
      <mc:AlternateContent>
        <mc:Choice Requires="wpsCustomData">
          <wpsCustomData:docfieldStart id="1" docfieldname="主送机关_1" hidden="0" print="1" readonly="0" index="5"/>
        </mc:Choice>
      </mc:AlternateContent>
      <w:r>
        <w:rPr>
          <w:rFonts w:ascii="Times New Roman" w:hAnsi="Times New Roman" w:eastAsia="仿宋_GB2312" w:cs="仿宋_GB2312"/>
          <w:color w:val="333333"/>
          <w:sz w:val="28"/>
          <w:szCs w:val="28"/>
        </w:rPr>
        <w:t>各中职学校</w:t>
      </w:r>
      <mc:AlternateContent>
        <mc:Choice Requires="wpsCustomData">
          <wpsCustomData:docfieldEnd id="1"/>
        </mc:Choice>
      </mc:AlternateContent>
      <w:r>
        <w:rPr>
          <w:rFonts w:ascii="Times New Roman" w:hAnsi="Times New Roman" w:eastAsia="仿宋_GB2312" w:cs="仿宋_GB2312"/>
          <w:color w:val="333333"/>
          <w:sz w:val="28"/>
          <w:szCs w:val="28"/>
        </w:rPr>
        <w:t>：</w:t>
      </w:r>
    </w:p>
    <w:p w14:paraId="3523ABFE">
      <w:pPr>
        <w:pStyle w:val="11"/>
        <w:widowControl/>
        <w:spacing w:line="360" w:lineRule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仿宋_GB2312" w:cs="仿宋_GB2312"/>
          <w:color w:val="333333"/>
          <w:sz w:val="28"/>
          <w:szCs w:val="28"/>
        </w:rPr>
        <w:t>为进一步提升我区中职学校职教高考备考质量，加强学校间教学经验交流与资源共享，分析诊断考试情况，精准指导后期复习备考，经研究，决定召开双流区中职2026年职教高考考前复习策略经验交流会。现将有关事项通知如下。</w:t>
      </w:r>
    </w:p>
    <w:p w14:paraId="32696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28"/>
          <w:szCs w:val="28"/>
          <w:lang w:val="en-US" w:eastAsia="zh-CN" w:bidi="ar-SA"/>
        </w:rPr>
        <w:t>一、会议安排</w:t>
      </w:r>
    </w:p>
    <w:p w14:paraId="70034A8B">
      <w:pPr>
        <w:pStyle w:val="3"/>
        <w:widowControl/>
        <w:numPr>
          <w:ilvl w:val="0"/>
          <w:numId w:val="0"/>
        </w:numPr>
        <w:topLinePunct w:val="0"/>
        <w:spacing w:line="360" w:lineRule="auto"/>
        <w:ind w:left="0" w:leftChars="0" w:firstLine="640"/>
        <w:rPr>
          <w:rFonts w:hint="eastAsia" w:ascii="楷体_GB2312" w:hAnsi="楷体_GB2312" w:eastAsia="楷体_GB2312" w:cs="楷体_GB2312"/>
          <w:b w:val="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（一）</w:t>
      </w:r>
      <w:r>
        <w:rPr>
          <w:sz w:val="28"/>
          <w:szCs w:val="28"/>
        </w:rPr>
        <w:t>会议时间</w:t>
      </w:r>
    </w:p>
    <w:p w14:paraId="2CFE43CB">
      <w:pPr>
        <w:pStyle w:val="11"/>
        <w:widowControl/>
        <w:spacing w:line="360" w:lineRule="auto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2026年4月2</w:t>
      </w:r>
      <w:r>
        <w:rPr>
          <w:rFonts w:hint="eastAsia" w:cs="仿宋_GB2312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 w:cs="仿宋_GB2312"/>
          <w:sz w:val="28"/>
          <w:szCs w:val="28"/>
        </w:rPr>
        <w:t>日（星期三）上午9:30—1</w:t>
      </w:r>
      <w:r>
        <w:rPr>
          <w:rFonts w:hint="eastAsia" w:cs="仿宋_GB2312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 w:cs="仿宋_GB2312"/>
          <w:sz w:val="28"/>
          <w:szCs w:val="28"/>
        </w:rPr>
        <w:t>:30。</w:t>
      </w:r>
    </w:p>
    <w:p w14:paraId="4DF73F46">
      <w:pPr>
        <w:pStyle w:val="3"/>
        <w:widowControl/>
        <w:numPr>
          <w:ilvl w:val="0"/>
          <w:numId w:val="0"/>
        </w:numPr>
        <w:topLinePunct w:val="0"/>
        <w:spacing w:line="360" w:lineRule="auto"/>
        <w:ind w:left="0" w:leftChars="0" w:firstLine="640"/>
        <w:rPr>
          <w:rFonts w:hint="eastAsia" w:ascii="楷体_GB2312" w:hAnsi="楷体_GB2312" w:eastAsia="楷体_GB2312" w:cs="楷体_GB2312"/>
          <w:b w:val="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（二）</w:t>
      </w:r>
      <w:r>
        <w:rPr>
          <w:sz w:val="28"/>
          <w:szCs w:val="28"/>
        </w:rPr>
        <w:t>会议地点</w:t>
      </w:r>
    </w:p>
    <w:p w14:paraId="03C2F4AF">
      <w:pPr>
        <w:pStyle w:val="11"/>
        <w:widowControl/>
        <w:spacing w:line="360" w:lineRule="auto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成都市双流区教育科学研究院</w:t>
      </w:r>
      <w:r>
        <w:rPr>
          <w:rFonts w:hint="eastAsia" w:cs="仿宋_GB2312"/>
          <w:sz w:val="28"/>
          <w:szCs w:val="28"/>
          <w:lang w:val="en-US" w:eastAsia="zh-CN"/>
        </w:rPr>
        <w:t>512</w:t>
      </w:r>
      <w:r>
        <w:rPr>
          <w:rFonts w:ascii="Times New Roman" w:hAnsi="Times New Roman" w:eastAsia="仿宋_GB2312" w:cs="仿宋_GB2312"/>
          <w:sz w:val="28"/>
          <w:szCs w:val="28"/>
        </w:rPr>
        <w:t>会议室（双流区一杆旗南一街31号）。</w:t>
      </w:r>
    </w:p>
    <w:p w14:paraId="230F3B4C">
      <w:pPr>
        <w:pStyle w:val="3"/>
        <w:widowControl/>
        <w:numPr>
          <w:ilvl w:val="0"/>
          <w:numId w:val="0"/>
        </w:numPr>
        <w:topLinePunct w:val="0"/>
        <w:spacing w:line="360" w:lineRule="auto"/>
        <w:ind w:left="0" w:leftChars="0" w:firstLine="640"/>
        <w:rPr>
          <w:rFonts w:hint="eastAsia" w:ascii="楷体_GB2312" w:hAnsi="楷体_GB2312" w:eastAsia="楷体_GB2312" w:cs="楷体_GB2312"/>
          <w:b w:val="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（三）</w:t>
      </w:r>
      <w:r>
        <w:rPr>
          <w:sz w:val="28"/>
          <w:szCs w:val="28"/>
        </w:rPr>
        <w:t>参会人员</w:t>
      </w:r>
    </w:p>
    <w:p w14:paraId="0BA8CCE7">
      <w:pPr>
        <w:pStyle w:val="11"/>
        <w:widowControl/>
        <w:numPr>
          <w:ilvl w:val="0"/>
          <w:numId w:val="0"/>
        </w:numPr>
        <w:spacing w:line="360" w:lineRule="auto"/>
        <w:ind w:left="0" w:leftChars="0" w:firstLine="616"/>
        <w:rPr>
          <w:rFonts w:ascii="Times New Roman" w:hAnsi="Times New Roman" w:eastAsia="仿宋_GB2312" w:cs="仿宋_GB2312"/>
          <w:b w:val="0"/>
          <w:sz w:val="28"/>
          <w:szCs w:val="28"/>
        </w:rPr>
      </w:pPr>
      <w:r>
        <w:rPr>
          <w:rStyle w:val="20"/>
          <w:rFonts w:hint="eastAsia"/>
          <w:sz w:val="28"/>
          <w:szCs w:val="28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 xml:space="preserve"> </w:t>
      </w:r>
      <w:r>
        <w:rPr>
          <w:rStyle w:val="20"/>
          <w:sz w:val="28"/>
          <w:szCs w:val="28"/>
        </w:rPr>
        <w:t>全区中职学校</w:t>
      </w:r>
      <w:r>
        <w:rPr>
          <w:rFonts w:ascii="Times New Roman" w:hAnsi="Times New Roman" w:eastAsia="仿宋_GB2312" w:cs="仿宋_GB2312"/>
          <w:sz w:val="28"/>
          <w:szCs w:val="28"/>
        </w:rPr>
        <w:t>：分管教学副校长、教务主任、教研组长或专业部负责人，每校2－3人。</w:t>
      </w:r>
    </w:p>
    <w:p w14:paraId="432024E7">
      <w:pPr>
        <w:pStyle w:val="11"/>
        <w:widowControl/>
        <w:numPr>
          <w:ilvl w:val="0"/>
          <w:numId w:val="0"/>
        </w:numPr>
        <w:spacing w:line="360" w:lineRule="auto"/>
        <w:ind w:left="0" w:leftChars="0" w:firstLine="616"/>
        <w:rPr>
          <w:rFonts w:ascii="Times New Roman" w:hAnsi="Times New Roman" w:eastAsia="仿宋_GB2312" w:cs="仿宋_GB2312"/>
          <w:b w:val="0"/>
          <w:sz w:val="28"/>
          <w:szCs w:val="28"/>
        </w:rPr>
      </w:pPr>
      <w:r>
        <w:rPr>
          <w:rStyle w:val="20"/>
          <w:rFonts w:hint="eastAsia"/>
          <w:spacing w:val="-6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 xml:space="preserve"> </w:t>
      </w:r>
      <w:r>
        <w:rPr>
          <w:rStyle w:val="20"/>
          <w:spacing w:val="-6"/>
          <w:sz w:val="28"/>
          <w:szCs w:val="28"/>
        </w:rPr>
        <w:t>双流建校、成电校</w:t>
      </w:r>
      <w:r>
        <w:rPr>
          <w:rFonts w:ascii="Times New Roman" w:hAnsi="Times New Roman" w:eastAsia="仿宋_GB2312" w:cs="仿宋_GB2312"/>
          <w:spacing w:val="-6"/>
          <w:sz w:val="28"/>
          <w:szCs w:val="28"/>
        </w:rPr>
        <w:t>：分管教学中层</w:t>
      </w:r>
      <w:r>
        <w:rPr>
          <w:rFonts w:hint="eastAsia" w:cs="仿宋_GB2312"/>
          <w:spacing w:val="-6"/>
          <w:sz w:val="28"/>
          <w:szCs w:val="28"/>
          <w:lang w:val="en-US" w:eastAsia="zh-CN"/>
        </w:rPr>
        <w:t>发言</w:t>
      </w:r>
      <w:r>
        <w:rPr>
          <w:rFonts w:ascii="Times New Roman" w:hAnsi="Times New Roman" w:eastAsia="仿宋_GB2312" w:cs="仿宋_GB2312"/>
          <w:spacing w:val="-6"/>
          <w:sz w:val="28"/>
          <w:szCs w:val="28"/>
        </w:rPr>
        <w:t>代表</w:t>
      </w:r>
      <w:r>
        <w:rPr>
          <w:rFonts w:ascii="Times New Roman" w:hAnsi="Times New Roman" w:eastAsia="仿宋_GB2312" w:cs="仿宋_GB2312"/>
          <w:sz w:val="28"/>
          <w:szCs w:val="28"/>
        </w:rPr>
        <w:t>。</w:t>
      </w:r>
    </w:p>
    <w:p w14:paraId="43ED22D4">
      <w:pPr>
        <w:pStyle w:val="11"/>
        <w:widowControl/>
        <w:numPr>
          <w:ilvl w:val="0"/>
          <w:numId w:val="0"/>
        </w:numPr>
        <w:spacing w:line="360" w:lineRule="auto"/>
        <w:ind w:left="0" w:leftChars="0" w:firstLine="616"/>
        <w:rPr>
          <w:rFonts w:hint="default" w:ascii="Times New Roman" w:hAnsi="Times New Roman" w:eastAsia="仿宋_GB2312" w:cs="仿宋_GB2312"/>
          <w:sz w:val="28"/>
          <w:szCs w:val="28"/>
          <w:lang w:val="en-US"/>
        </w:rPr>
      </w:pPr>
      <w:r>
        <w:rPr>
          <w:rStyle w:val="20"/>
          <w:rFonts w:hint="eastAsia"/>
          <w:sz w:val="28"/>
          <w:szCs w:val="28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 xml:space="preserve"> </w:t>
      </w:r>
      <w:r>
        <w:rPr>
          <w:rFonts w:hint="eastAsia" w:cs="仿宋_GB2312"/>
          <w:sz w:val="28"/>
          <w:szCs w:val="28"/>
          <w:lang w:val="en-US" w:eastAsia="zh-CN"/>
        </w:rPr>
        <w:t>区教育局职成科领导。</w:t>
      </w:r>
    </w:p>
    <w:p w14:paraId="06F788F5">
      <w:pPr>
        <w:pStyle w:val="11"/>
        <w:widowControl/>
        <w:numPr>
          <w:ilvl w:val="0"/>
          <w:numId w:val="0"/>
        </w:numPr>
        <w:spacing w:line="360" w:lineRule="auto"/>
        <w:ind w:left="0" w:leftChars="0" w:firstLine="616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 xml:space="preserve">4.  </w:t>
      </w:r>
      <w:r>
        <w:rPr>
          <w:rStyle w:val="20"/>
          <w:sz w:val="28"/>
          <w:szCs w:val="28"/>
        </w:rPr>
        <w:t>区教科院分管领导、职教室全体工作人员</w:t>
      </w:r>
      <w:r>
        <w:rPr>
          <w:rFonts w:ascii="Times New Roman" w:hAnsi="Times New Roman" w:eastAsia="仿宋_GB2312" w:cs="仿宋_GB2312"/>
          <w:sz w:val="28"/>
          <w:szCs w:val="28"/>
        </w:rPr>
        <w:t>。</w:t>
      </w:r>
    </w:p>
    <w:p w14:paraId="78186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28"/>
          <w:szCs w:val="28"/>
          <w:lang w:val="en-US" w:eastAsia="zh-CN" w:bidi="ar-SA"/>
        </w:rPr>
        <w:t>二、会议议程</w:t>
      </w:r>
    </w:p>
    <w:tbl>
      <w:tblPr>
        <w:tblStyle w:val="16"/>
        <w:tblW w:w="8294" w:type="dxa"/>
        <w:jc w:val="center"/>
        <w:tblBorders>
          <w:top w:val="single" w:color="1F4E79" w:sz="8" w:space="0"/>
          <w:left w:val="single" w:color="7F7F7F" w:sz="4" w:space="0"/>
          <w:bottom w:val="single" w:color="1F4E79" w:sz="8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199"/>
        <w:gridCol w:w="6095"/>
      </w:tblGrid>
      <w:tr w14:paraId="045ADD75">
        <w:tblPrEx>
          <w:tblBorders>
            <w:top w:val="single" w:color="1F4E79" w:sz="8" w:space="0"/>
            <w:left w:val="single" w:color="7F7F7F" w:sz="4" w:space="0"/>
            <w:bottom w:val="single" w:color="1F4E79" w:sz="8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100" w:type="dxa"/>
            <w:left w:w="120" w:type="dxa"/>
            <w:bottom w:w="100" w:type="dxa"/>
            <w:right w:w="120" w:type="dxa"/>
          </w:tblCellMar>
        </w:tblPrEx>
        <w:trPr>
          <w:trHeight w:val="0" w:hRule="atLeast"/>
          <w:tblHeader/>
          <w:jc w:val="center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085AF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9FD95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333333"/>
                <w:sz w:val="24"/>
                <w:szCs w:val="24"/>
              </w:rPr>
              <w:t>主题</w:t>
            </w:r>
          </w:p>
        </w:tc>
      </w:tr>
      <w:tr w14:paraId="40DEEAC5">
        <w:tblPrEx>
          <w:tblBorders>
            <w:top w:val="single" w:color="1F4E79" w:sz="8" w:space="0"/>
            <w:left w:val="single" w:color="7F7F7F" w:sz="4" w:space="0"/>
            <w:bottom w:val="single" w:color="1F4E79" w:sz="8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100" w:type="dxa"/>
            <w:left w:w="120" w:type="dxa"/>
            <w:bottom w:w="10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44EA37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9: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0—9:25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8E7B36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签 到</w:t>
            </w:r>
          </w:p>
        </w:tc>
      </w:tr>
      <w:tr w14:paraId="16479EFF">
        <w:tblPrEx>
          <w:tblBorders>
            <w:top w:val="single" w:color="1F4E79" w:sz="8" w:space="0"/>
            <w:left w:val="single" w:color="7F7F7F" w:sz="4" w:space="0"/>
            <w:bottom w:val="single" w:color="1F4E79" w:sz="8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100" w:type="dxa"/>
            <w:left w:w="120" w:type="dxa"/>
            <w:bottom w:w="10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B57C06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9:30—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: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87096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双流建校高三复习经验分享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：</w:t>
            </w:r>
          </w:p>
          <w:p w14:paraId="02EA7B8F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模块化攻坚 精准化提分</w:t>
            </w:r>
          </w:p>
        </w:tc>
      </w:tr>
      <w:tr w14:paraId="771A4CF1">
        <w:tblPrEx>
          <w:tblBorders>
            <w:top w:val="single" w:color="1F4E79" w:sz="8" w:space="0"/>
            <w:left w:val="single" w:color="7F7F7F" w:sz="4" w:space="0"/>
            <w:bottom w:val="single" w:color="1F4E79" w:sz="8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100" w:type="dxa"/>
            <w:left w:w="120" w:type="dxa"/>
            <w:bottom w:w="10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1F904F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9:50—10: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45608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成电校高三复习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经验分享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精准数据分析·靶向提升教学</w:t>
            </w:r>
          </w:p>
        </w:tc>
      </w:tr>
      <w:tr w14:paraId="00AD4359">
        <w:tblPrEx>
          <w:tblBorders>
            <w:top w:val="single" w:color="1F4E79" w:sz="8" w:space="0"/>
            <w:left w:val="single" w:color="7F7F7F" w:sz="4" w:space="0"/>
            <w:bottom w:val="single" w:color="1F4E79" w:sz="8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100" w:type="dxa"/>
            <w:left w:w="120" w:type="dxa"/>
            <w:bottom w:w="10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242C7B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10: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0—10: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3411C3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语文学科教研员指导</w:t>
            </w:r>
          </w:p>
        </w:tc>
      </w:tr>
      <w:tr w14:paraId="00B38F0E">
        <w:tblPrEx>
          <w:tblBorders>
            <w:top w:val="single" w:color="1F4E79" w:sz="8" w:space="0"/>
            <w:left w:val="single" w:color="7F7F7F" w:sz="4" w:space="0"/>
            <w:bottom w:val="single" w:color="1F4E79" w:sz="8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100" w:type="dxa"/>
            <w:left w:w="120" w:type="dxa"/>
            <w:bottom w:w="10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462BED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10: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0—1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: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35D73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数学学科教研员指导</w:t>
            </w:r>
          </w:p>
        </w:tc>
      </w:tr>
      <w:tr w14:paraId="701D2C17">
        <w:tblPrEx>
          <w:tblBorders>
            <w:top w:val="single" w:color="1F4E79" w:sz="8" w:space="0"/>
            <w:left w:val="single" w:color="7F7F7F" w:sz="4" w:space="0"/>
            <w:bottom w:val="single" w:color="1F4E79" w:sz="8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100" w:type="dxa"/>
            <w:left w:w="120" w:type="dxa"/>
            <w:bottom w:w="10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6D6038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10：50-11：10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41728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中职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单招、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对口诊断考试成绩反馈</w:t>
            </w:r>
          </w:p>
        </w:tc>
      </w:tr>
      <w:tr w14:paraId="2A9D4492">
        <w:tblPrEx>
          <w:tblBorders>
            <w:top w:val="single" w:color="1F4E79" w:sz="8" w:space="0"/>
            <w:left w:val="single" w:color="7F7F7F" w:sz="4" w:space="0"/>
            <w:bottom w:val="single" w:color="1F4E79" w:sz="8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100" w:type="dxa"/>
            <w:left w:w="120" w:type="dxa"/>
            <w:bottom w:w="100" w:type="dxa"/>
            <w:right w:w="120" w:type="dxa"/>
          </w:tblCellMar>
        </w:tblPrEx>
        <w:trPr>
          <w:trHeight w:val="312" w:hRule="atLeast"/>
          <w:jc w:val="center"/>
        </w:trPr>
        <w:tc>
          <w:tcPr>
            <w:tcW w:w="2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5B6CB2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: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0—1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:30</w:t>
            </w:r>
          </w:p>
        </w:tc>
        <w:tc>
          <w:tcPr>
            <w:tcW w:w="6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55C378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领导讲话</w:t>
            </w:r>
          </w:p>
        </w:tc>
      </w:tr>
      <w:tr w14:paraId="2E094E77">
        <w:tblPrEx>
          <w:tblBorders>
            <w:top w:val="single" w:color="1F4E79" w:sz="8" w:space="0"/>
            <w:left w:val="single" w:color="7F7F7F" w:sz="4" w:space="0"/>
            <w:bottom w:val="single" w:color="1F4E79" w:sz="8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100" w:type="dxa"/>
            <w:left w:w="120" w:type="dxa"/>
            <w:bottom w:w="100" w:type="dxa"/>
            <w:right w:w="120" w:type="dxa"/>
          </w:tblCellMar>
        </w:tblPrEx>
        <w:trPr>
          <w:trHeight w:val="312" w:hRule="atLeast"/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9EA59C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41413D">
            <w:pPr>
              <w:keepNext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65EE5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6AE23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28"/>
          <w:szCs w:val="28"/>
          <w:lang w:val="en-US" w:eastAsia="zh-CN" w:bidi="ar-SA"/>
        </w:rPr>
        <w:t>三、相关要求</w:t>
      </w:r>
    </w:p>
    <w:p w14:paraId="30042A33">
      <w:pPr>
        <w:pStyle w:val="3"/>
        <w:widowControl/>
        <w:numPr>
          <w:ilvl w:val="0"/>
          <w:numId w:val="0"/>
        </w:numPr>
        <w:topLinePunct w:val="0"/>
        <w:spacing w:line="360" w:lineRule="auto"/>
        <w:ind w:left="0" w:leftChars="0" w:firstLine="640"/>
        <w:rPr>
          <w:rFonts w:hint="eastAsia" w:ascii="楷体_GB2312" w:hAnsi="楷体_GB2312" w:eastAsia="楷体_GB2312" w:cs="楷体_GB2312"/>
          <w:b w:val="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（一）</w:t>
      </w:r>
      <w:r>
        <w:rPr>
          <w:sz w:val="28"/>
          <w:szCs w:val="28"/>
        </w:rPr>
        <w:t>材料准备</w:t>
      </w:r>
    </w:p>
    <w:p w14:paraId="32CE6DF8">
      <w:pPr>
        <w:pStyle w:val="11"/>
        <w:widowControl/>
        <w:spacing w:line="360" w:lineRule="auto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双流建校、成电校请提前准备高三复习经验交流材料，内容应包括：复习计划安排、分层教学实施、后进生转化措施、应试技巧指导、心理疏导做法等。</w:t>
      </w:r>
    </w:p>
    <w:p w14:paraId="3B8D663E">
      <w:pPr>
        <w:pStyle w:val="3"/>
        <w:widowControl/>
        <w:numPr>
          <w:ilvl w:val="0"/>
          <w:numId w:val="0"/>
        </w:numPr>
        <w:topLinePunct w:val="0"/>
        <w:spacing w:line="360" w:lineRule="auto"/>
        <w:ind w:left="0" w:leftChars="0" w:firstLine="640"/>
        <w:rPr>
          <w:rFonts w:hint="eastAsia" w:ascii="楷体_GB2312" w:hAnsi="楷体_GB2312" w:eastAsia="楷体_GB2312" w:cs="楷体_GB2312"/>
          <w:b w:val="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（二）</w:t>
      </w:r>
      <w:r>
        <w:rPr>
          <w:sz w:val="28"/>
          <w:szCs w:val="28"/>
        </w:rPr>
        <w:t>时间要求</w:t>
      </w:r>
    </w:p>
    <w:p w14:paraId="0DB29E6B">
      <w:pPr>
        <w:pStyle w:val="11"/>
        <w:widowControl/>
        <w:spacing w:line="360" w:lineRule="auto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请参会人员提前安排好工作，</w:t>
      </w:r>
      <w:r>
        <w:rPr>
          <w:rFonts w:hint="eastAsia" w:cs="仿宋_GB2312"/>
          <w:sz w:val="28"/>
          <w:szCs w:val="28"/>
          <w:lang w:val="en-US" w:eastAsia="zh-CN"/>
        </w:rPr>
        <w:t>提前15分钟到会</w:t>
      </w:r>
      <w:r>
        <w:rPr>
          <w:rFonts w:ascii="Times New Roman" w:hAnsi="Times New Roman" w:eastAsia="仿宋_GB2312" w:cs="仿宋_GB2312"/>
          <w:sz w:val="28"/>
          <w:szCs w:val="28"/>
        </w:rPr>
        <w:t>。会议期间原则上不得请假、迟到或早退，确因特殊情况不能参会须提前向区教科院书面请假。</w:t>
      </w:r>
    </w:p>
    <w:p w14:paraId="3D31B190">
      <w:pPr>
        <w:pStyle w:val="3"/>
        <w:widowControl/>
        <w:numPr>
          <w:ilvl w:val="0"/>
          <w:numId w:val="0"/>
        </w:numPr>
        <w:topLinePunct w:val="0"/>
        <w:spacing w:line="360" w:lineRule="auto"/>
        <w:ind w:left="0" w:leftChars="0" w:firstLine="640"/>
        <w:rPr>
          <w:rFonts w:hint="eastAsia" w:ascii="楷体_GB2312" w:hAnsi="楷体_GB2312" w:eastAsia="楷体_GB2312" w:cs="楷体_GB2312"/>
          <w:b w:val="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（三）</w:t>
      </w:r>
      <w:r>
        <w:rPr>
          <w:sz w:val="28"/>
          <w:szCs w:val="28"/>
        </w:rPr>
        <w:t>会场纪律</w:t>
      </w:r>
    </w:p>
    <w:p w14:paraId="44F1622B">
      <w:pPr>
        <w:pStyle w:val="11"/>
        <w:widowControl/>
        <w:spacing w:line="360" w:lineRule="auto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请将手机调至静音或振动模式，保持会场秩序，认真听讲，做好笔记。发言时请围绕主题，简明扼要，突出重点。</w:t>
      </w:r>
    </w:p>
    <w:p w14:paraId="00B0EF56">
      <w:pPr>
        <w:pStyle w:val="3"/>
        <w:widowControl/>
        <w:numPr>
          <w:ilvl w:val="0"/>
          <w:numId w:val="0"/>
        </w:numPr>
        <w:topLinePunct w:val="0"/>
        <w:spacing w:line="360" w:lineRule="auto"/>
        <w:ind w:left="0" w:leftChars="0" w:firstLine="640"/>
        <w:rPr>
          <w:rFonts w:hint="eastAsia" w:ascii="楷体_GB2312" w:hAnsi="楷体_GB2312" w:eastAsia="楷体_GB2312" w:cs="楷体_GB2312"/>
          <w:b w:val="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（四）</w:t>
      </w:r>
      <w:r>
        <w:rPr>
          <w:sz w:val="28"/>
          <w:szCs w:val="28"/>
        </w:rPr>
        <w:t>其他事项</w:t>
      </w:r>
    </w:p>
    <w:p w14:paraId="072E5079">
      <w:pPr>
        <w:pStyle w:val="11"/>
        <w:widowControl/>
        <w:spacing w:line="360" w:lineRule="auto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会议地点停车位有限，建议绿色出行或拼车前往。会场提供饮用水，请自带水杯。</w:t>
      </w:r>
    </w:p>
    <w:p w14:paraId="7F1BA854">
      <w:pPr>
        <w:pStyle w:val="11"/>
        <w:widowControl/>
        <w:spacing w:line="360" w:lineRule="auto"/>
        <w:jc w:val="right"/>
        <w:rPr>
          <w:rFonts w:ascii="Times New Roman" w:hAnsi="Times New Roman" w:eastAsia="仿宋_GB2312" w:cs="仿宋_GB2312"/>
          <w:color w:val="333333"/>
          <w:sz w:val="28"/>
          <w:szCs w:val="28"/>
        </w:rPr>
      </w:pPr>
    </w:p>
    <w:p w14:paraId="5DA052DD">
      <w:pPr>
        <w:pStyle w:val="11"/>
        <w:widowControl/>
        <w:spacing w:line="360" w:lineRule="auto"/>
        <w:jc w:val="right"/>
        <w:rPr>
          <w:rFonts w:ascii="Times New Roman" w:hAnsi="Times New Roman" w:eastAsia="仿宋_GB2312" w:cs="仿宋_GB2312"/>
          <w:color w:val="333333"/>
          <w:sz w:val="28"/>
          <w:szCs w:val="28"/>
        </w:rPr>
      </w:pPr>
    </w:p>
    <w:p w14:paraId="23AC6B2E">
      <w:pPr>
        <w:pStyle w:val="11"/>
        <w:widowControl/>
        <w:spacing w:line="360" w:lineRule="auto"/>
        <w:jc w:val="right"/>
        <w:rPr>
          <w:rFonts w:ascii="Times New Roman" w:hAnsi="Times New Roman" w:eastAsia="仿宋_GB2312" w:cs="仿宋_GB2312"/>
          <w:color w:val="333333"/>
          <w:sz w:val="28"/>
          <w:szCs w:val="28"/>
        </w:rPr>
      </w:pPr>
    </w:p>
    <w:p w14:paraId="776C1046">
      <w:pPr>
        <w:pStyle w:val="11"/>
        <w:widowControl/>
        <w:spacing w:line="360" w:lineRule="auto"/>
        <w:jc w:val="righ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color w:val="333333"/>
          <w:sz w:val="28"/>
          <w:szCs w:val="28"/>
        </w:rPr>
        <w:t>成都市双流区教育科学研究院</w:t>
      </w:r>
    </w:p>
    <w:p w14:paraId="11B0930E">
      <w:pPr>
        <w:pStyle w:val="11"/>
        <w:widowControl/>
        <w:spacing w:line="360" w:lineRule="auto"/>
        <w:jc w:val="right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仿宋_GB2312"/>
          <w:color w:val="333333"/>
          <w:sz w:val="28"/>
          <w:szCs w:val="28"/>
        </w:rPr>
        <w:t>2026年4月</w:t>
      </w:r>
      <w:r>
        <w:rPr>
          <w:rFonts w:hint="eastAsia" w:cs="仿宋_GB2312"/>
          <w:color w:val="333333"/>
          <w:sz w:val="28"/>
          <w:szCs w:val="28"/>
          <w:lang w:val="en-US" w:eastAsia="zh-CN"/>
        </w:rPr>
        <w:t>17日</w:t>
      </w:r>
    </w:p>
    <w:p w14:paraId="506F7CDB">
      <w:pPr>
        <w:ind w:left="0" w:leftChars="0" w:firstLine="0" w:firstLineChars="0"/>
      </w:pPr>
    </w:p>
    <w:p w14:paraId="4723B59C">
      <w:pPr>
        <w:pStyle w:val="15"/>
        <w:widowControl/>
      </w:pPr>
      <mc:AlternateContent>
        <mc:Choice Requires="wpsCustomData">
          <wpsCustomData:docfieldStart id="2" docfieldname="标题_2" hidden="0" print="1" readonly="0" index="2"/>
        </mc:Choice>
      </mc:AlternateContent>
    </w:p>
    <w:p w14:paraId="08A352E6">
      <w:pPr>
        <w:pStyle w:val="15"/>
        <w:widowControl/>
      </w:pPr>
    </w:p>
    <w:p w14:paraId="756DE478">
      <w:pPr>
        <w:pStyle w:val="15"/>
        <w:widowControl/>
      </w:pPr>
    </w:p>
    <w:p w14:paraId="56971E05">
      <w:pPr>
        <w:pStyle w:val="15"/>
        <w:widowControl/>
      </w:pPr>
    </w:p>
    <w:p w14:paraId="7E08C853">
      <w:pPr>
        <w:pStyle w:val="15"/>
        <w:widowControl/>
        <w:jc w:val="both"/>
      </w:pPr>
    </w:p>
    <w:p w14:paraId="27A0E04A">
      <w:pPr>
        <w:pStyle w:val="15"/>
        <w:widowControl/>
        <w:jc w:val="both"/>
      </w:pPr>
    </w:p>
    <w:p w14:paraId="3BFBD0C4">
      <w:pPr>
        <w:pStyle w:val="15"/>
        <w:widowControl/>
        <w:jc w:val="both"/>
      </w:pPr>
    </w:p>
    <w:p w14:paraId="0CFE5EC8">
      <w:pPr>
        <w:pStyle w:val="15"/>
        <w:widowControl/>
        <w:jc w:val="both"/>
      </w:pPr>
    </w:p>
    <w:p w14:paraId="266755B1">
      <w:pPr>
        <w:pStyle w:val="15"/>
        <w:widowControl/>
        <w:jc w:val="both"/>
      </w:pPr>
    </w:p>
    <w:p w14:paraId="7BB9EA0E">
      <w:pPr>
        <w:pStyle w:val="15"/>
        <w:widowControl/>
        <w:spacing w:line="240" w:lineRule="auto"/>
        <w:rPr>
          <w:sz w:val="32"/>
          <w:szCs w:val="32"/>
        </w:rPr>
      </w:pPr>
    </w:p>
    <w:p w14:paraId="1109132F">
      <w:pPr>
        <w:pStyle w:val="15"/>
        <w:widowControl/>
        <w:spacing w:line="240" w:lineRule="auto"/>
        <w:rPr>
          <w:sz w:val="32"/>
          <w:szCs w:val="32"/>
        </w:rPr>
      </w:pPr>
    </w:p>
    <mc:AlternateContent>
      <mc:Choice Requires="wpsCustomData">
        <wpsCustomData:docfieldEnd id="2"/>
      </mc:Choice>
    </mc:AlternateContent>
    <w:p w14:paraId="7DB60E4D">
      <w:pPr>
        <w:pStyle w:val="11"/>
        <w:bidi w:val="0"/>
        <w:ind w:left="0" w:leftChars="0" w:firstLine="0" w:firstLineChars="0"/>
        <w:jc w:val="both"/>
        <w:rPr>
          <w:rFonts w:hint="default" w:ascii="Times New Roman" w:hAnsi="Times New Roman" w:eastAsia="仿宋_GB2312" w:cs="仿宋_GB2312"/>
          <w:color w:val="333333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1213" w:right="1406" w:bottom="1213" w:left="1406" w:header="851" w:footer="1417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B3F49F4-899F-4549-8862-466309AAB0A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4D559E89-E738-4A96-AE2D-E4D6F226546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E3179E8B-0C70-4B95-88C9-577FDBB63C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785AC09-0455-4451-9AE7-B1CDE7E88B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1" w:csb1="00000000"/>
    <w:embedRegular r:id="rId5" w:fontKey="{F590E2FF-C254-42C5-9584-882452EF57E2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12C78F18-B146-493F-B9CE-F78B780B56E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428C5708-41C9-4367-91A5-E5F7EA366D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8712F"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CC92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xL45l0QAAAAYBAAAPAAAAAAAAAAEAIAAAACIAAABkcnMv&#10;ZG93bnJldi54bWxQSwECFAAUAAAACACHTuJAlOMPy9EBAACmAwAADgAAAAAAAAABACAAAAAgAQAA&#10;ZHJzL2Uyb0RvYy54bWxQSwUGAAAAAAYABgBZAQAAYw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2F3CC92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6CFBA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55878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EvjmXRAAAABgEAAA8AAAAAAAAAAQAgAAAAIgAAAGRycy9k&#10;b3ducmV2LnhtbFBLAQIUABQAAAAIAIdO4kDTGNjg0AEAAKY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29655878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BE785">
    <w:pPr>
      <w:pBdr>
        <w:bottom w:val="none" w:color="1F4E79" w:sz="0" w:space="0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documentProtection w:enforcement="0"/>
  <w:evenAndOddHeaders w:val="1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61154"/>
    <w:rsid w:val="17CA7D2D"/>
    <w:rsid w:val="24E12825"/>
    <w:rsid w:val="2AEF71FD"/>
    <w:rsid w:val="2DC84A12"/>
    <w:rsid w:val="46974746"/>
    <w:rsid w:val="46BA2DF9"/>
    <w:rsid w:val="48CB07F4"/>
    <w:rsid w:val="48D05A3C"/>
    <w:rsid w:val="591A3FB4"/>
    <w:rsid w:val="63E861DD"/>
    <w:rsid w:val="70C66990"/>
    <w:rsid w:val="71FC4233"/>
    <w:rsid w:val="77880C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60" w:lineRule="auto"/>
      <w:ind w:firstLine="420"/>
    </w:pPr>
    <w:rPr>
      <w:rFonts w:ascii="Calibri" w:hAnsi="Calibri" w:eastAsia="微软雅黑" w:cstheme="minorBidi"/>
      <w:color w:val="333333"/>
      <w:sz w:val="24"/>
      <w:szCs w:val="22"/>
    </w:rPr>
  </w:style>
  <w:style w:type="paragraph" w:styleId="2">
    <w:name w:val="heading 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9">
    <w:name w:val="表格标题"/>
    <w:next w:val="1"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0">
    <w:name w:val="标题 3 Char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851</Words>
  <Characters>951</Characters>
  <TotalTime>119</TotalTime>
  <ScaleCrop>false</ScaleCrop>
  <LinksUpToDate>false</LinksUpToDate>
  <CharactersWithSpaces>964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2026-04-02T07:04:00Z</dcterms:created>
  <dc:creator>pc</dc:creator>
  <cp:lastModifiedBy>陈嘉立</cp:lastModifiedBy>
  <cp:lastPrinted>2026-04-17T06:51:14Z</cp:lastPrinted>
  <dcterms:modified xsi:type="dcterms:W3CDTF">2026-04-17T06:56:33Z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eyJoZGlkIjoiNTdlYTBjZWEyMGEzMDY3YjM5NGU2MTRlMDUyMzVlMjciLCJ1c2VySWQiOiIzMDg0NjkxODIifQ==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69B6597D08FF42B5923E1FAD6F621C8A_13</vt:lpwstr>
  </property>
</Properties>
</file>