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4"/>
        <w:gridCol w:w="544"/>
        <w:gridCol w:w="2250"/>
        <w:gridCol w:w="665"/>
        <w:gridCol w:w="634"/>
        <w:gridCol w:w="1252"/>
        <w:gridCol w:w="939"/>
        <w:gridCol w:w="5793"/>
        <w:gridCol w:w="1638"/>
      </w:tblGrid>
      <w:tr w:rsidR="00F566BB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AE1256">
            <w:pPr>
              <w:jc w:val="center"/>
              <w:rPr>
                <w:b/>
                <w:bCs/>
                <w:sz w:val="21"/>
                <w:szCs w:val="21"/>
              </w:rPr>
            </w:pPr>
            <w:r w:rsidRPr="00AC1900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AC1900">
              <w:rPr>
                <w:b/>
                <w:bCs/>
                <w:sz w:val="36"/>
                <w:szCs w:val="36"/>
              </w:rPr>
              <w:t>2026年</w:t>
            </w:r>
            <w:r w:rsidRPr="00AC1900">
              <w:rPr>
                <w:rFonts w:hint="eastAsia"/>
                <w:b/>
                <w:bCs/>
                <w:sz w:val="36"/>
                <w:szCs w:val="36"/>
              </w:rPr>
              <w:t>5</w:t>
            </w:r>
            <w:r w:rsidRPr="00AC1900">
              <w:rPr>
                <w:b/>
                <w:bCs/>
                <w:sz w:val="36"/>
                <w:szCs w:val="36"/>
              </w:rPr>
              <w:t>月</w:t>
            </w:r>
            <w:r w:rsidRPr="00AC1900">
              <w:rPr>
                <w:rFonts w:hint="eastAsia"/>
                <w:b/>
                <w:bCs/>
                <w:sz w:val="36"/>
                <w:szCs w:val="36"/>
              </w:rPr>
              <w:t>全学段</w:t>
            </w:r>
            <w:r w:rsidRPr="00AC1900">
              <w:rPr>
                <w:b/>
                <w:bCs/>
                <w:sz w:val="36"/>
                <w:szCs w:val="36"/>
              </w:rPr>
              <w:t>学科研培活动安排表</w:t>
            </w:r>
          </w:p>
        </w:tc>
      </w:tr>
      <w:tr w:rsidR="00F566BB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F566BB">
            <w:pPr>
              <w:jc w:val="right"/>
              <w:rPr>
                <w:sz w:val="21"/>
                <w:szCs w:val="21"/>
              </w:rPr>
            </w:pPr>
          </w:p>
        </w:tc>
      </w:tr>
      <w:tr w:rsidR="00F566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66BB" w:rsidRDefault="001252D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全学段-教育科研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关于召开基础教育国家级优秀教学成果 《与儿童共生：农村幼儿园自然教育课程体系构建与实践》推广应用展示活动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双流区胜利幼儿园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许芊芊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 w:rsidP="001F5BC9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关于召开基础教育国家级优秀教学成果 《与儿童共生：农村幼儿园自然教育课程体系构建与实践》推广应用展示活动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双流区各幼儿园（含民办）园长、科研室主任或骨干教师代表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全学段-教育科研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精研幼教课堂 聚力科研启航——名师工作室送教实验幼儿园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双流区实验幼儿园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高星、涂华婷、易恩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精研幼教课堂 聚力科研启航——名师工作室送教实验幼儿园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幼儿园科研骨干教师、2026年拟开题的课题组主研、工作室学员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全学段-心理健康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全区学校心理教师专业技能提升培训 ——学校心理辅导工作伦理实务（二）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双流区未未成年人心理成长指导中心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张海滨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学校心理辅导工作伦理实务案例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学校心理健康教育专职教师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全学段-心理健康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全区学校心理教师专业技能提升培训 ——学校心理辅导工作伦理实务（一）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双流区未成年人心理指导中心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张海滨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学校心理辅导工作伦理实务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学校心理健康教育专职教师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天府文化融合校本课程实践成果展示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双流区东升小学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杨炼、王宪龙、李丽等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1.《地方美术馆资源赋能学校美育实践》，主讲：成都艺体中学 杨炼；2.《根植地方文脉 传承非遗技艺——特色课程与工作坊融合实践》，主讲：成都棠湖外国语学校 王宪龙；3.《文化育人 匠心独运——迎春小学根果艺术工作坊创新 实践》，主讲：双流区迎春小学 李丽；4.《品读双流文脉 汲取文化力量——融合博物馆资源进美术课堂》，主讲：双流区东升小学 曹露文；5.《川剧传统文化融入小学陶艺校本课程的实践探究》，主讲：双流区东升小学詹小宁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中小学美术教研组长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教师德心共育力提升之初中主题班会课设计与实施课例研讨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九江新城初中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王俊、杨灿 、代婉盈、周蓉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一、主题班会课课例展示：1.九江新城杨灿 主题班会课《执今日之笔，答未来之卷》，2.、东升一中 代婉盈主题班会课《品三杯茶香，悟党的领航》；二、德育中心组成员微讲座：立格王俊《立德树人视域下的健全人格养成：学校课程思政的校本化实践》；三、德育教研员周蓉评课及指导；四、德育一片组组长总结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双流区初中德育第一片组、第二片组学校班主任，其他片组老师选择参加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教师德心共育力提升之学科融合德育的实践方法探索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双流区怡心第一实验学校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张亮、王雅洁、 陈清艳、高悦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一、学科教师分享：1.双流教科院附属学校 王雅洁（专题分享：《润物无声，育人有痕——初中语文学科融合德育的实践探索》；2.协和实验学校 陈清艳（专题分享：《以心为本润品德，以德为源育心灵——初中心理健康教育学科德育的实操路径》；3.怡心第一实验学校 高悦（专题分享：《以艺润心，以行立德——初中美术课程与德育融合的育人路径探索》）；二、德育中心组成员微讲座：盐道街外语学校 张亮 作专题讲座；三、中学德育教研员周蓉点评总结。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初中德育四片组学校班主任，其他片组班主任自愿参加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双流区人工智能应用赋能与课程实践系列培训（十）人工智能赋能艺术教育实践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四川省成都艺体中学 杨柳艺术馆（明德楼底楼）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黄世军,阎肃,张迪,杨婧婧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课例主题：《设计校考中的AI 应用》 课例主题：AI音画解码——走进《黄河船夫曲》的民族精神世界 专题分享：《以美润心，智绘未来——AI赋能美育课堂的全景重构与实践探索》 专题分享：《数字化手段及AI工具在器乐教学中的实践应用》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双流区人工智能教研中心组（人工智能应用方向）教师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双流区人工智能应用赋能与课程实践系列培训（九）基于视觉技术的空港物流分拣装置制作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四川省双流棠湖中学（双江路校区）第二阶梯教室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曾杨,杨维国,徐艳,陈雪莲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课例展示：《智能分拣，眼见为实——基于视觉技术的空港物流分拣装置制作》 专题分享： 《从“技术应用”到“育人重构”——AI 驱动下跨学科教学的校本化育人模式迭代与品牌建设》 专题分享： 《生成式AI赋能学科融合：多模态教学资源在教学中的应用》 专题分享： 《算法跨界融合——AI助力跨学科提质增效》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双流区人工智能教研中心组（人工智能教育方向）教师；全区中小学信息科技学科教师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双流区人工智能应用赋能与课程实践系列培训（八）人工智能赋能英语读后续写教学实践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四川省成都艺体中学 录播教室（心理成长中心三楼）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屈霞,孙倩,黄桃兰,苏琳钰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课例展示： AI智绘童话——走进《The Ugly Duckling》的成长世界 课例展示：《技术赋能，巧评续写——基于AI的读后续写讲评课》 讲座分享：《智慧赋能·语用共生：AI支持下的英语童话阅读教学路径》 讲座分享：《智赋读写·以技促写——人工智能赋能高中英语读后续写教学实践》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双流区人工智能教研中心组（人工智能应用方向）教师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段-教育数字化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双流区人工智能应用赋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能与课程实践系列培训（七）从数据到决策的进化之路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2026-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05-15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四川省双流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棠湖中学（双江路校区）科技楼计算机网络教室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贾浩,毛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宇,涂桓瑜,刘望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 xml:space="preserve">课例展示：《AI赋能智慧物流：从数据到决策的进化之路》 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课例展示：《空港物流智能分拣——KNN近邻分类算法入门》 专题分享：《从感知到思辨——空港场景下算法思想的深化与拓展》 专题分享：《数据流动助力系统运行——空港场景下以数据为基石的计算思维落地》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双流区人工智能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教研中心组（人工智能教育方向）教师；全区中小学信息科技学科教师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双流区教师合唱团集训36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合唱作品排练。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双流区教师合唱成员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双流区教师合唱团集训35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合唱作品排练。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双流区教师合唱团成员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双流区教师合唱团集训34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合唱作品排练。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双流区教师合唱团成员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刘利华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技法练习、作品点评、互动交流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成都市双流区教师国画团成员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王春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专题讲座：硬笔书法教学的“支架式”设计：从笔画到作品的阶梯搭建，主讲：王春（四川省书法家协会会员、双流区书法家协会副主席）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  <w:tr w:rsidR="00AE1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全学段-美术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2026-05-12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文旭东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技法练习、作品点评、互动交流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E1256" w:rsidRDefault="00AE1256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</w:tbl>
    <w:p w:rsidR="00F566BB" w:rsidRDefault="00F566BB"/>
    <w:sectPr w:rsidR="00F566BB" w:rsidSect="00AE1256">
      <w:pgSz w:w="16839" w:h="11906" w:orient="landscape"/>
      <w:pgMar w:top="1418" w:right="1440" w:bottom="1418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2DC" w:rsidRDefault="001252DC" w:rsidP="00AE1256">
      <w:r>
        <w:separator/>
      </w:r>
    </w:p>
  </w:endnote>
  <w:endnote w:type="continuationSeparator" w:id="0">
    <w:p w:rsidR="001252DC" w:rsidRDefault="001252DC" w:rsidP="00AE1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2DC" w:rsidRDefault="001252DC" w:rsidP="00AE1256">
      <w:r>
        <w:separator/>
      </w:r>
    </w:p>
  </w:footnote>
  <w:footnote w:type="continuationSeparator" w:id="0">
    <w:p w:rsidR="001252DC" w:rsidRDefault="001252DC" w:rsidP="00AE1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66BB"/>
    <w:rsid w:val="001252DC"/>
    <w:rsid w:val="00AE1256"/>
    <w:rsid w:val="00F566BB"/>
    <w:rsid w:val="16F8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66BB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F566BB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F566BB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F566BB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F566BB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F566BB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F566BB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56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F566BB"/>
    <w:pPr>
      <w:spacing w:beforeAutospacing="1" w:afterAutospacing="1"/>
    </w:pPr>
  </w:style>
  <w:style w:type="paragraph" w:customStyle="1" w:styleId="table">
    <w:name w:val="table"/>
    <w:basedOn w:val="a"/>
    <w:rsid w:val="00F566BB"/>
    <w:rPr>
      <w:sz w:val="21"/>
      <w:szCs w:val="21"/>
    </w:rPr>
  </w:style>
  <w:style w:type="paragraph" w:styleId="a4">
    <w:name w:val="header"/>
    <w:basedOn w:val="a"/>
    <w:link w:val="Char"/>
    <w:rsid w:val="00AE1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E1256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AE125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E1256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2026-05-20T03:48:00Z</dcterms:created>
  <dcterms:modified xsi:type="dcterms:W3CDTF">2026-05-20T03:52:00Z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9573C5D4F10A4C50B67355337C2B298E_13</vt:lpwstr>
  </property>
</Properties>
</file>